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Sahoo Manoj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60"/>
        <w:spacing w:after="0" w:line="331" w:lineRule="auto"/>
        <w:rPr>
          <w:sz w:val="20"/>
          <w:szCs w:val="20"/>
          <w:color w:val="auto"/>
        </w:rPr>
      </w:pPr>
      <w:r>
        <w:rPr>
          <w:rFonts w:ascii="Arial" w:cs="Arial" w:eastAsia="Arial" w:hAnsi="Arial"/>
          <w:sz w:val="18"/>
          <w:szCs w:val="18"/>
          <w:color w:val="0000FF"/>
        </w:rPr>
        <w:t>600 COUNTY ROAD D WEST SUITE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Calyxt,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CLXT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8"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NEW</w:t>
      </w:r>
      <w:r>
        <w:rPr>
          <w:rFonts w:ascii="Arial" w:cs="Arial" w:eastAsia="Arial" w:hAnsi="Arial"/>
          <w:sz w:val="18"/>
          <w:szCs w:val="18"/>
          <w:color w:val="0000FF"/>
        </w:rPr>
        <w:t xml:space="preserve"> MN 55112 BRIGHTON</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06/18/2018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490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20.51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81,634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November 21,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68,600 RSUs with respect to Calyxt, Inc. common stock, which were granted on June 14, 2017, remain unvested and will vest quarterly in equal installments over the following 42 months.</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David M. Vander Haar,</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06/19/2018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3"/>
              </w:rPr>
              <w:t>attorney-in-fact for Mr. Sahoo</w:t>
            </w:r>
          </w:p>
        </w:tc>
        <w:tc>
          <w:tcPr>
            <w:tcW w:w="1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8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5740"/>
        <w:spacing w:after="0"/>
        <w:rPr>
          <w:sz w:val="20"/>
          <w:szCs w:val="20"/>
          <w:color w:val="auto"/>
        </w:rPr>
      </w:pPr>
      <w:r>
        <w:rPr>
          <w:rFonts w:ascii="Arial" w:cs="Arial" w:eastAsia="Arial" w:hAnsi="Arial"/>
          <w:sz w:val="30"/>
          <w:szCs w:val="30"/>
          <w:b w:val="1"/>
          <w:bCs w:val="1"/>
          <w:color w:val="auto"/>
        </w:rPr>
        <w:t>EXHIBIT 24</w:t>
      </w:r>
    </w:p>
    <w:p>
      <w:pPr>
        <w:spacing w:after="0" w:line="200" w:lineRule="exact"/>
        <w:rPr>
          <w:sz w:val="20"/>
          <w:szCs w:val="20"/>
          <w:color w:val="auto"/>
        </w:rPr>
      </w:pPr>
    </w:p>
    <w:p>
      <w:pPr>
        <w:spacing w:after="0" w:line="306" w:lineRule="exact"/>
        <w:rPr>
          <w:sz w:val="20"/>
          <w:szCs w:val="20"/>
          <w:color w:val="auto"/>
        </w:rPr>
      </w:pPr>
    </w:p>
    <w:p>
      <w:pPr>
        <w:jc w:val="center"/>
        <w:ind w:right="2779"/>
        <w:spacing w:after="0"/>
        <w:rPr>
          <w:sz w:val="20"/>
          <w:szCs w:val="20"/>
          <w:color w:val="auto"/>
        </w:rPr>
      </w:pPr>
      <w:r>
        <w:rPr>
          <w:rFonts w:ascii="Arial" w:cs="Arial" w:eastAsia="Arial" w:hAnsi="Arial"/>
          <w:sz w:val="30"/>
          <w:szCs w:val="30"/>
          <w:b w:val="1"/>
          <w:bCs w:val="1"/>
          <w:color w:val="auto"/>
        </w:rPr>
        <w:t>Calyxt, Inc.</w:t>
      </w:r>
    </w:p>
    <w:p>
      <w:pPr>
        <w:spacing w:after="0" w:line="224"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Power of Attorney</w:t>
      </w:r>
    </w:p>
    <w:p>
      <w:pPr>
        <w:spacing w:after="0" w:line="28"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for Executing Forms 3, 4 and 5</w:t>
      </w:r>
    </w:p>
    <w:p>
      <w:pPr>
        <w:spacing w:after="0" w:line="356" w:lineRule="exact"/>
        <w:rPr>
          <w:sz w:val="20"/>
          <w:szCs w:val="20"/>
          <w:color w:val="auto"/>
        </w:rPr>
      </w:pPr>
    </w:p>
    <w:p>
      <w:pPr>
        <w:jc w:val="both"/>
        <w:ind w:left="40" w:right="2379"/>
        <w:spacing w:after="0" w:line="258" w:lineRule="auto"/>
        <w:rPr>
          <w:sz w:val="20"/>
          <w:szCs w:val="20"/>
          <w:color w:val="auto"/>
        </w:rPr>
      </w:pPr>
      <w:r>
        <w:rPr>
          <w:rFonts w:ascii="Arial" w:cs="Arial" w:eastAsia="Arial" w:hAnsi="Arial"/>
          <w:sz w:val="21"/>
          <w:szCs w:val="21"/>
          <w:color w:val="auto"/>
        </w:rPr>
        <w:t>Know all men by these presents, that the undersigned, director or officer, or both, of Calyxt, Inc., hereby constitutes and appoints each of David M. Vander Haar, signing singly, the undersigned's true and lawful attorney-in-fact to:</w:t>
      </w:r>
    </w:p>
    <w:p>
      <w:pPr>
        <w:spacing w:after="0" w:line="113" w:lineRule="exact"/>
        <w:rPr>
          <w:sz w:val="20"/>
          <w:szCs w:val="20"/>
          <w:color w:val="auto"/>
        </w:rPr>
      </w:pPr>
    </w:p>
    <w:p>
      <w:pPr>
        <w:ind w:left="780" w:right="2459" w:hanging="776"/>
        <w:spacing w:after="0" w:line="238" w:lineRule="auto"/>
        <w:tabs>
          <w:tab w:leader="none" w:pos="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Calyxt, Inc. (the "Company"), Forms 3, 4, and 5 in accordance with Section 16(a) of the Securities Exchange Act of 1934 and the rules thereunder;</w:t>
      </w:r>
    </w:p>
    <w:p>
      <w:pPr>
        <w:spacing w:after="0" w:line="131" w:lineRule="exact"/>
        <w:rPr>
          <w:rFonts w:ascii="Arial" w:cs="Arial" w:eastAsia="Arial" w:hAnsi="Arial"/>
          <w:sz w:val="22"/>
          <w:szCs w:val="22"/>
          <w:color w:val="auto"/>
        </w:rPr>
      </w:pPr>
    </w:p>
    <w:p>
      <w:pPr>
        <w:ind w:left="780" w:right="2419" w:hanging="776"/>
        <w:spacing w:after="0" w:line="28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9" w:lineRule="exact"/>
        <w:rPr>
          <w:rFonts w:ascii="Arial" w:cs="Arial" w:eastAsia="Arial" w:hAnsi="Arial"/>
          <w:sz w:val="19"/>
          <w:szCs w:val="19"/>
          <w:color w:val="auto"/>
        </w:rPr>
      </w:pPr>
    </w:p>
    <w:p>
      <w:pPr>
        <w:ind w:left="780" w:right="2399" w:hanging="776"/>
        <w:spacing w:after="0" w:line="27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9" w:lineRule="exact"/>
        <w:rPr>
          <w:sz w:val="20"/>
          <w:szCs w:val="20"/>
          <w:color w:val="auto"/>
        </w:rPr>
      </w:pPr>
    </w:p>
    <w:p>
      <w:pPr>
        <w:ind w:left="40" w:right="2319"/>
        <w:spacing w:after="0" w:line="244"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left="40" w:right="2299"/>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of Calyxt, Inc. unless earlier revoked by the undersigned in a signed writing delivered to the foregoing attorneys-in-fact.</w:t>
      </w:r>
    </w:p>
    <w:p>
      <w:pPr>
        <w:spacing w:after="0" w:line="89" w:lineRule="exact"/>
        <w:rPr>
          <w:sz w:val="20"/>
          <w:szCs w:val="20"/>
          <w:color w:val="auto"/>
        </w:rPr>
      </w:pPr>
    </w:p>
    <w:p>
      <w:pPr>
        <w:ind w:left="40" w:right="2439"/>
        <w:spacing w:after="0" w:line="262" w:lineRule="auto"/>
        <w:rPr>
          <w:sz w:val="20"/>
          <w:szCs w:val="20"/>
          <w:color w:val="auto"/>
        </w:rPr>
      </w:pPr>
      <w:r>
        <w:rPr>
          <w:rFonts w:ascii="Arial" w:cs="Arial" w:eastAsia="Arial" w:hAnsi="Arial"/>
          <w:sz w:val="22"/>
          <w:szCs w:val="22"/>
          <w:color w:val="auto"/>
        </w:rPr>
        <w:t>IN WITNESS WHEREOF, the undersigned has executed this Power of Attorney as of this 14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March, 2018</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/s/ Manoj Sahoo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38100</wp:posOffset>
            </wp:positionV>
            <wp:extent cx="2590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72"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Manoj Sahoo</w:t>
      </w:r>
    </w:p>
    <w:sectPr>
      <w:pgSz w:w="11900" w:h="16838" w:orient="portrait"/>
      <w:cols w:equalWidth="0" w:num="1">
        <w:col w:w="9699"/>
      </w:cols>
      <w:pgMar w:left="76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2226" TargetMode="External"/><Relationship Id="rId13"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2019-12-08T16:49:42Z</dcterms:created>
  <dcterms:modified xsi:type="dcterms:W3CDTF">2019-12-08T16:49:42Z</dcterms:modified>
</cp:coreProperties>
</file>