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230" w:lineRule="exact"/>
        <w:rPr>
          <w:sz w:val="24"/>
          <w:szCs w:val="24"/>
          <w:color w:val="auto"/>
        </w:rPr>
      </w:pPr>
    </w:p>
    <w:p>
      <w:pPr>
        <w:ind w:left="4000"/>
        <w:spacing w:after="0"/>
        <w:rPr>
          <w:sz w:val="20"/>
          <w:szCs w:val="20"/>
          <w:color w:val="auto"/>
        </w:rPr>
      </w:pPr>
      <w:r>
        <w:rPr>
          <w:rFonts w:ascii="Times New Roman" w:cs="Times New Roman" w:eastAsia="Times New Roman" w:hAnsi="Times New Roman"/>
          <w:sz w:val="11"/>
          <w:szCs w:val="11"/>
          <w:b w:val="1"/>
          <w:bCs w:val="1"/>
          <w:color w:val="auto"/>
        </w:rPr>
        <w:t>As filed with the Securities and Exchange Commission on May 15, 2026.</w:t>
      </w:r>
    </w:p>
    <w:p>
      <w:pPr>
        <w:ind w:left="8460"/>
        <w:spacing w:after="0"/>
        <w:rPr>
          <w:sz w:val="20"/>
          <w:szCs w:val="20"/>
          <w:color w:val="auto"/>
        </w:rPr>
      </w:pPr>
      <w:r>
        <w:rPr>
          <w:rFonts w:ascii="Times New Roman" w:cs="Times New Roman" w:eastAsia="Times New Roman" w:hAnsi="Times New Roman"/>
          <w:sz w:val="11"/>
          <w:szCs w:val="11"/>
          <w:b w:val="1"/>
          <w:bCs w:val="1"/>
          <w:color w:val="auto"/>
        </w:rPr>
        <w:t xml:space="preserve">Registration No. 333-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972820</wp:posOffset>
            </wp:positionH>
            <wp:positionV relativeFrom="paragraph">
              <wp:posOffset>44450</wp:posOffset>
            </wp:positionV>
            <wp:extent cx="5221605" cy="6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221605" cy="6350"/>
                    </a:xfrm>
                    <a:prstGeom prst="rect">
                      <a:avLst/>
                    </a:prstGeom>
                    <a:noFill/>
                  </pic:spPr>
                </pic:pic>
              </a:graphicData>
            </a:graphic>
          </wp:anchor>
        </w:drawing>
        <w:drawing>
          <wp:anchor simplePos="0" relativeHeight="251657728" behindDoc="1" locked="0" layoutInCell="0" allowOverlap="1">
            <wp:simplePos x="0" y="0"/>
            <wp:positionH relativeFrom="column">
              <wp:posOffset>972820</wp:posOffset>
            </wp:positionH>
            <wp:positionV relativeFrom="paragraph">
              <wp:posOffset>76200</wp:posOffset>
            </wp:positionV>
            <wp:extent cx="5221605"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221605" cy="6350"/>
                    </a:xfrm>
                    <a:prstGeom prst="rect">
                      <a:avLst/>
                    </a:prstGeom>
                    <a:noFill/>
                  </pic:spPr>
                </pic:pic>
              </a:graphicData>
            </a:graphic>
          </wp:anchor>
        </w:drawing>
      </w:r>
    </w:p>
    <w:p>
      <w:pPr>
        <w:spacing w:after="0" w:line="13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2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1" w:lineRule="exact"/>
        <w:rPr>
          <w:sz w:val="24"/>
          <w:szCs w:val="24"/>
          <w:color w:val="auto"/>
        </w:rPr>
      </w:pPr>
    </w:p>
    <w:p>
      <w:pPr>
        <w:ind w:left="4960"/>
        <w:spacing w:after="0"/>
        <w:rPr>
          <w:sz w:val="20"/>
          <w:szCs w:val="20"/>
          <w:color w:val="auto"/>
        </w:rPr>
      </w:pPr>
      <w:r>
        <w:rPr>
          <w:rFonts w:ascii="Times New Roman" w:cs="Times New Roman" w:eastAsia="Times New Roman" w:hAnsi="Times New Roman"/>
          <w:sz w:val="13"/>
          <w:szCs w:val="13"/>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3033395</wp:posOffset>
            </wp:positionH>
            <wp:positionV relativeFrom="paragraph">
              <wp:posOffset>173355</wp:posOffset>
            </wp:positionV>
            <wp:extent cx="1100455"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00455" cy="6350"/>
                    </a:xfrm>
                    <a:prstGeom prst="rect">
                      <a:avLst/>
                    </a:prstGeom>
                    <a:noFill/>
                  </pic:spPr>
                </pic:pic>
              </a:graphicData>
            </a:graphic>
          </wp:anchor>
        </w:drawing>
      </w:r>
    </w:p>
    <w:p>
      <w:pPr>
        <w:spacing w:after="0" w:line="39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1"/>
          <w:szCs w:val="21"/>
          <w:b w:val="1"/>
          <w:bCs w:val="1"/>
          <w:color w:val="auto"/>
        </w:rPr>
        <w:t>FORM S-3</w:t>
      </w:r>
    </w:p>
    <w:p>
      <w:pPr>
        <w:spacing w:after="0" w:line="3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1"/>
          <w:szCs w:val="21"/>
          <w:b w:val="1"/>
          <w:bCs w:val="1"/>
          <w:color w:val="auto"/>
        </w:rPr>
        <w:t>REGISTRATION STATEMENT</w:t>
      </w:r>
    </w:p>
    <w:p>
      <w:pPr>
        <w:spacing w:after="0" w:line="1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i w:val="1"/>
          <w:iCs w:val="1"/>
          <w:color w:val="auto"/>
        </w:rPr>
        <w:t>UNDER</w:t>
      </w:r>
    </w:p>
    <w:p>
      <w:pPr>
        <w:spacing w:after="0" w:line="1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3033395</wp:posOffset>
            </wp:positionH>
            <wp:positionV relativeFrom="paragraph">
              <wp:posOffset>180340</wp:posOffset>
            </wp:positionV>
            <wp:extent cx="1100455"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00455" cy="6350"/>
                    </a:xfrm>
                    <a:prstGeom prst="rect">
                      <a:avLst/>
                    </a:prstGeom>
                    <a:noFill/>
                  </pic:spPr>
                </pic:pic>
              </a:graphicData>
            </a:graphic>
          </wp:anchor>
        </w:drawing>
      </w:r>
    </w:p>
    <w:p>
      <w:pPr>
        <w:spacing w:after="0" w:line="39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0"/>
          <w:szCs w:val="30"/>
          <w:b w:val="1"/>
          <w:bCs w:val="1"/>
          <w:color w:val="auto"/>
        </w:rPr>
        <w:t>Cibus, Inc.</w:t>
      </w:r>
    </w:p>
    <w:p>
      <w:pPr>
        <w:spacing w:after="0" w:line="22"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11"/>
          <w:szCs w:val="11"/>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3033395</wp:posOffset>
            </wp:positionH>
            <wp:positionV relativeFrom="paragraph">
              <wp:posOffset>159385</wp:posOffset>
            </wp:positionV>
            <wp:extent cx="1100455"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00455" cy="6350"/>
                    </a:xfrm>
                    <a:prstGeom prst="rect">
                      <a:avLst/>
                    </a:prstGeom>
                    <a:noFill/>
                  </pic:spPr>
                </pic:pic>
              </a:graphicData>
            </a:graphic>
          </wp:anchor>
        </w:drawing>
      </w:r>
    </w:p>
    <w:p>
      <w:pPr>
        <w:spacing w:after="0" w:line="200" w:lineRule="exact"/>
        <w:rPr>
          <w:sz w:val="24"/>
          <w:szCs w:val="24"/>
          <w:color w:val="auto"/>
        </w:rPr>
      </w:pPr>
    </w:p>
    <w:p>
      <w:pPr>
        <w:spacing w:after="0" w:line="222" w:lineRule="exact"/>
        <w:rPr>
          <w:sz w:val="24"/>
          <w:szCs w:val="24"/>
          <w:color w:val="auto"/>
        </w:rPr>
      </w:pPr>
    </w:p>
    <w:tbl>
      <w:tblPr>
        <w:tblLayout w:type="fixed"/>
        <w:tblInd w:w="2320" w:type="dxa"/>
        <w:tblCellMar>
          <w:top w:w="0" w:type="dxa"/>
          <w:left w:w="0" w:type="dxa"/>
          <w:bottom w:w="0" w:type="dxa"/>
          <w:right w:w="0" w:type="dxa"/>
        </w:tblCellMar>
      </w:tblPr>
      <w:tr>
        <w:trPr>
          <w:trHeight w:val="126"/>
        </w:trPr>
        <w:tc>
          <w:tcPr>
            <w:tcW w:w="2040" w:type="dxa"/>
            <w:vAlign w:val="bottom"/>
          </w:tcPr>
          <w:p>
            <w:pPr>
              <w:jc w:val="center"/>
              <w:ind w:right="771"/>
              <w:spacing w:after="0"/>
              <w:rPr>
                <w:sz w:val="20"/>
                <w:szCs w:val="20"/>
                <w:color w:val="auto"/>
              </w:rPr>
            </w:pPr>
            <w:r>
              <w:rPr>
                <w:rFonts w:ascii="Times New Roman" w:cs="Times New Roman" w:eastAsia="Times New Roman" w:hAnsi="Times New Roman"/>
                <w:sz w:val="11"/>
                <w:szCs w:val="11"/>
                <w:b w:val="1"/>
                <w:bCs w:val="1"/>
                <w:color w:val="auto"/>
                <w:w w:val="94"/>
              </w:rPr>
              <w:t>Delaware</w:t>
            </w:r>
          </w:p>
        </w:tc>
        <w:tc>
          <w:tcPr>
            <w:tcW w:w="2820" w:type="dxa"/>
            <w:vAlign w:val="bottom"/>
          </w:tcPr>
          <w:p>
            <w:pPr>
              <w:jc w:val="center"/>
              <w:ind w:right="31"/>
              <w:spacing w:after="0"/>
              <w:rPr>
                <w:sz w:val="20"/>
                <w:szCs w:val="20"/>
                <w:color w:val="auto"/>
              </w:rPr>
            </w:pPr>
            <w:r>
              <w:rPr>
                <w:rFonts w:ascii="Times New Roman" w:cs="Times New Roman" w:eastAsia="Times New Roman" w:hAnsi="Times New Roman"/>
                <w:sz w:val="11"/>
                <w:szCs w:val="11"/>
                <w:b w:val="1"/>
                <w:bCs w:val="1"/>
                <w:color w:val="auto"/>
                <w:w w:val="96"/>
              </w:rPr>
              <w:t>6455 Nancy Ridge Drive</w:t>
            </w:r>
          </w:p>
        </w:tc>
        <w:tc>
          <w:tcPr>
            <w:tcW w:w="1620" w:type="dxa"/>
            <w:vAlign w:val="bottom"/>
          </w:tcPr>
          <w:p>
            <w:pPr>
              <w:jc w:val="center"/>
              <w:ind w:left="851"/>
              <w:spacing w:after="0"/>
              <w:rPr>
                <w:sz w:val="20"/>
                <w:szCs w:val="20"/>
                <w:color w:val="auto"/>
              </w:rPr>
            </w:pPr>
            <w:r>
              <w:rPr>
                <w:rFonts w:ascii="Times New Roman" w:cs="Times New Roman" w:eastAsia="Times New Roman" w:hAnsi="Times New Roman"/>
                <w:sz w:val="11"/>
                <w:szCs w:val="11"/>
                <w:b w:val="1"/>
                <w:bCs w:val="1"/>
                <w:color w:val="auto"/>
                <w:w w:val="97"/>
              </w:rPr>
              <w:t>27-1967997</w:t>
            </w:r>
          </w:p>
        </w:tc>
      </w:tr>
      <w:tr>
        <w:trPr>
          <w:trHeight w:val="101"/>
        </w:trPr>
        <w:tc>
          <w:tcPr>
            <w:tcW w:w="2040" w:type="dxa"/>
            <w:vAlign w:val="bottom"/>
          </w:tcPr>
          <w:p>
            <w:pPr>
              <w:jc w:val="center"/>
              <w:ind w:right="771"/>
              <w:spacing w:after="0" w:line="101" w:lineRule="exact"/>
              <w:rPr>
                <w:sz w:val="20"/>
                <w:szCs w:val="20"/>
                <w:color w:val="auto"/>
              </w:rPr>
            </w:pPr>
            <w:r>
              <w:rPr>
                <w:rFonts w:ascii="Times New Roman" w:cs="Times New Roman" w:eastAsia="Times New Roman" w:hAnsi="Times New Roman"/>
                <w:sz w:val="9"/>
                <w:szCs w:val="9"/>
                <w:b w:val="1"/>
                <w:bCs w:val="1"/>
                <w:color w:val="auto"/>
              </w:rPr>
              <w:t>(State or other jurisdiction of</w:t>
            </w:r>
          </w:p>
        </w:tc>
        <w:tc>
          <w:tcPr>
            <w:tcW w:w="2820" w:type="dxa"/>
            <w:vAlign w:val="bottom"/>
          </w:tcPr>
          <w:p>
            <w:pPr>
              <w:jc w:val="center"/>
              <w:ind w:right="31"/>
              <w:spacing w:after="0" w:line="101" w:lineRule="exact"/>
              <w:rPr>
                <w:sz w:val="20"/>
                <w:szCs w:val="20"/>
                <w:color w:val="auto"/>
              </w:rPr>
            </w:pPr>
            <w:r>
              <w:rPr>
                <w:rFonts w:ascii="Times New Roman" w:cs="Times New Roman" w:eastAsia="Times New Roman" w:hAnsi="Times New Roman"/>
                <w:sz w:val="9"/>
                <w:szCs w:val="9"/>
                <w:b w:val="1"/>
                <w:bCs w:val="1"/>
                <w:color w:val="auto"/>
              </w:rPr>
              <w:t>San Diego, CA 92121</w:t>
            </w:r>
          </w:p>
        </w:tc>
        <w:tc>
          <w:tcPr>
            <w:tcW w:w="1620" w:type="dxa"/>
            <w:vAlign w:val="bottom"/>
          </w:tcPr>
          <w:p>
            <w:pPr>
              <w:jc w:val="center"/>
              <w:ind w:left="851"/>
              <w:spacing w:after="0" w:line="101" w:lineRule="exact"/>
              <w:rPr>
                <w:sz w:val="20"/>
                <w:szCs w:val="20"/>
                <w:color w:val="auto"/>
              </w:rPr>
            </w:pPr>
            <w:r>
              <w:rPr>
                <w:rFonts w:ascii="Times New Roman" w:cs="Times New Roman" w:eastAsia="Times New Roman" w:hAnsi="Times New Roman"/>
                <w:sz w:val="9"/>
                <w:szCs w:val="9"/>
                <w:b w:val="1"/>
                <w:bCs w:val="1"/>
                <w:color w:val="auto"/>
              </w:rPr>
              <w:t>(I.R.S. Employer</w:t>
            </w:r>
          </w:p>
        </w:tc>
      </w:tr>
      <w:tr>
        <w:trPr>
          <w:trHeight w:val="124"/>
        </w:trPr>
        <w:tc>
          <w:tcPr>
            <w:tcW w:w="2040" w:type="dxa"/>
            <w:vAlign w:val="bottom"/>
          </w:tcPr>
          <w:p>
            <w:pPr>
              <w:jc w:val="center"/>
              <w:ind w:right="771"/>
              <w:spacing w:after="0"/>
              <w:rPr>
                <w:sz w:val="20"/>
                <w:szCs w:val="20"/>
                <w:color w:val="auto"/>
              </w:rPr>
            </w:pPr>
            <w:r>
              <w:rPr>
                <w:rFonts w:ascii="Times New Roman" w:cs="Times New Roman" w:eastAsia="Times New Roman" w:hAnsi="Times New Roman"/>
                <w:sz w:val="9"/>
                <w:szCs w:val="9"/>
                <w:b w:val="1"/>
                <w:bCs w:val="1"/>
                <w:color w:val="auto"/>
              </w:rPr>
              <w:t>incorporation or organization)</w:t>
            </w:r>
          </w:p>
        </w:tc>
        <w:tc>
          <w:tcPr>
            <w:tcW w:w="2820" w:type="dxa"/>
            <w:vAlign w:val="bottom"/>
          </w:tcPr>
          <w:p>
            <w:pPr>
              <w:jc w:val="center"/>
              <w:ind w:right="31"/>
              <w:spacing w:after="0"/>
              <w:rPr>
                <w:sz w:val="20"/>
                <w:szCs w:val="20"/>
                <w:color w:val="auto"/>
              </w:rPr>
            </w:pPr>
            <w:r>
              <w:rPr>
                <w:rFonts w:ascii="Times New Roman" w:cs="Times New Roman" w:eastAsia="Times New Roman" w:hAnsi="Times New Roman"/>
                <w:sz w:val="9"/>
                <w:szCs w:val="9"/>
                <w:b w:val="1"/>
                <w:bCs w:val="1"/>
                <w:color w:val="auto"/>
              </w:rPr>
              <w:t>(858) 450-0008</w:t>
            </w:r>
          </w:p>
        </w:tc>
        <w:tc>
          <w:tcPr>
            <w:tcW w:w="1620" w:type="dxa"/>
            <w:vAlign w:val="bottom"/>
          </w:tcPr>
          <w:p>
            <w:pPr>
              <w:jc w:val="center"/>
              <w:ind w:left="851"/>
              <w:spacing w:after="0"/>
              <w:rPr>
                <w:sz w:val="20"/>
                <w:szCs w:val="20"/>
                <w:color w:val="auto"/>
              </w:rPr>
            </w:pPr>
            <w:r>
              <w:rPr>
                <w:rFonts w:ascii="Times New Roman" w:cs="Times New Roman" w:eastAsia="Times New Roman" w:hAnsi="Times New Roman"/>
                <w:sz w:val="9"/>
                <w:szCs w:val="9"/>
                <w:b w:val="1"/>
                <w:bCs w:val="1"/>
                <w:color w:val="auto"/>
              </w:rPr>
              <w:t>Identification No.)</w:t>
            </w:r>
          </w:p>
        </w:tc>
      </w:tr>
    </w:tbl>
    <w:p>
      <w:pPr>
        <w:spacing w:after="0" w:line="168" w:lineRule="exact"/>
        <w:rPr>
          <w:sz w:val="24"/>
          <w:szCs w:val="24"/>
          <w:color w:val="auto"/>
        </w:rPr>
      </w:pPr>
    </w:p>
    <w:p>
      <w:pPr>
        <w:ind w:left="3360"/>
        <w:spacing w:after="0"/>
        <w:rPr>
          <w:sz w:val="20"/>
          <w:szCs w:val="20"/>
          <w:color w:val="auto"/>
        </w:rPr>
      </w:pPr>
      <w:r>
        <w:rPr>
          <w:rFonts w:ascii="Times New Roman" w:cs="Times New Roman" w:eastAsia="Times New Roman" w:hAnsi="Times New Roman"/>
          <w:sz w:val="9"/>
          <w:szCs w:val="9"/>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3033395</wp:posOffset>
            </wp:positionH>
            <wp:positionV relativeFrom="paragraph">
              <wp:posOffset>173990</wp:posOffset>
            </wp:positionV>
            <wp:extent cx="1100455"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00455" cy="635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1"/>
          <w:szCs w:val="11"/>
          <w:b w:val="1"/>
          <w:bCs w:val="1"/>
          <w:color w:val="auto"/>
        </w:rPr>
        <w:t>Peter Beetham</w:t>
      </w:r>
    </w:p>
    <w:p>
      <w:pPr>
        <w:jc w:val="center"/>
        <w:ind w:right="-1120"/>
        <w:spacing w:after="0" w:line="210" w:lineRule="auto"/>
        <w:rPr>
          <w:sz w:val="20"/>
          <w:szCs w:val="20"/>
          <w:color w:val="auto"/>
        </w:rPr>
      </w:pPr>
      <w:r>
        <w:rPr>
          <w:rFonts w:ascii="Times New Roman" w:cs="Times New Roman" w:eastAsia="Times New Roman" w:hAnsi="Times New Roman"/>
          <w:sz w:val="11"/>
          <w:szCs w:val="11"/>
          <w:b w:val="1"/>
          <w:bCs w:val="1"/>
          <w:color w:val="auto"/>
        </w:rPr>
        <w:t>Interim Chief Executive Officer</w:t>
      </w:r>
    </w:p>
    <w:p>
      <w:pPr>
        <w:jc w:val="center"/>
        <w:ind w:right="-1120"/>
        <w:spacing w:after="0" w:line="210" w:lineRule="auto"/>
        <w:rPr>
          <w:sz w:val="20"/>
          <w:szCs w:val="20"/>
          <w:color w:val="auto"/>
        </w:rPr>
      </w:pPr>
      <w:r>
        <w:rPr>
          <w:rFonts w:ascii="Times New Roman" w:cs="Times New Roman" w:eastAsia="Times New Roman" w:hAnsi="Times New Roman"/>
          <w:sz w:val="11"/>
          <w:szCs w:val="11"/>
          <w:b w:val="1"/>
          <w:bCs w:val="1"/>
          <w:color w:val="auto"/>
        </w:rPr>
        <w:t>6455 Nancy Ridge Drive</w:t>
      </w:r>
    </w:p>
    <w:p>
      <w:pPr>
        <w:jc w:val="center"/>
        <w:ind w:right="-1120"/>
        <w:spacing w:after="0" w:line="210" w:lineRule="auto"/>
        <w:rPr>
          <w:sz w:val="20"/>
          <w:szCs w:val="20"/>
          <w:color w:val="auto"/>
        </w:rPr>
      </w:pPr>
      <w:r>
        <w:rPr>
          <w:rFonts w:ascii="Times New Roman" w:cs="Times New Roman" w:eastAsia="Times New Roman" w:hAnsi="Times New Roman"/>
          <w:sz w:val="11"/>
          <w:szCs w:val="11"/>
          <w:b w:val="1"/>
          <w:bCs w:val="1"/>
          <w:color w:val="auto"/>
        </w:rPr>
        <w:t>San Diego, CA 92121</w:t>
      </w:r>
    </w:p>
    <w:p>
      <w:pPr>
        <w:jc w:val="center"/>
        <w:ind w:right="-1120"/>
        <w:spacing w:after="0" w:line="214" w:lineRule="auto"/>
        <w:rPr>
          <w:sz w:val="20"/>
          <w:szCs w:val="20"/>
          <w:color w:val="auto"/>
        </w:rPr>
      </w:pPr>
      <w:r>
        <w:rPr>
          <w:rFonts w:ascii="Times New Roman" w:cs="Times New Roman" w:eastAsia="Times New Roman" w:hAnsi="Times New Roman"/>
          <w:sz w:val="11"/>
          <w:szCs w:val="11"/>
          <w:b w:val="1"/>
          <w:bCs w:val="1"/>
          <w:color w:val="auto"/>
        </w:rPr>
        <w:t>(858) 450-0008</w:t>
      </w:r>
    </w:p>
    <w:p>
      <w:pPr>
        <w:ind w:left="3640"/>
        <w:spacing w:after="0"/>
        <w:rPr>
          <w:sz w:val="20"/>
          <w:szCs w:val="20"/>
          <w:color w:val="auto"/>
        </w:rPr>
      </w:pPr>
      <w:r>
        <w:rPr>
          <w:rFonts w:ascii="Times New Roman" w:cs="Times New Roman" w:eastAsia="Times New Roman" w:hAnsi="Times New Roman"/>
          <w:sz w:val="9"/>
          <w:szCs w:val="9"/>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3033395</wp:posOffset>
            </wp:positionH>
            <wp:positionV relativeFrom="paragraph">
              <wp:posOffset>166370</wp:posOffset>
            </wp:positionV>
            <wp:extent cx="1100455" cy="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00455" cy="6350"/>
                    </a:xfrm>
                    <a:prstGeom prst="rect">
                      <a:avLst/>
                    </a:prstGeom>
                    <a:noFill/>
                  </pic:spPr>
                </pic:pic>
              </a:graphicData>
            </a:graphic>
          </wp:anchor>
        </w:drawing>
      </w:r>
    </w:p>
    <w:p>
      <w:pPr>
        <w:spacing w:after="0" w:line="395" w:lineRule="exact"/>
        <w:rPr>
          <w:sz w:val="24"/>
          <w:szCs w:val="24"/>
          <w:color w:val="auto"/>
        </w:rPr>
      </w:pPr>
    </w:p>
    <w:p>
      <w:pPr>
        <w:ind w:left="5300"/>
        <w:spacing w:after="0"/>
        <w:rPr>
          <w:sz w:val="20"/>
          <w:szCs w:val="20"/>
          <w:color w:val="auto"/>
        </w:rPr>
      </w:pPr>
      <w:r>
        <w:rPr>
          <w:rFonts w:ascii="Times New Roman" w:cs="Times New Roman" w:eastAsia="Times New Roman" w:hAnsi="Times New Roman"/>
          <w:sz w:val="11"/>
          <w:szCs w:val="11"/>
          <w:b w:val="1"/>
          <w:bCs w:val="1"/>
          <w:i w:val="1"/>
          <w:iCs w:val="1"/>
          <w:color w:val="auto"/>
        </w:rPr>
        <w:t>With a Copy to:</w:t>
      </w:r>
    </w:p>
    <w:p>
      <w:pPr>
        <w:spacing w:after="0" w:line="6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1"/>
          <w:szCs w:val="11"/>
          <w:b w:val="1"/>
          <w:bCs w:val="1"/>
          <w:color w:val="auto"/>
        </w:rPr>
        <w:t>Peter E. Devlin</w:t>
      </w:r>
    </w:p>
    <w:p>
      <w:pPr>
        <w:jc w:val="center"/>
        <w:ind w:right="-1120"/>
        <w:spacing w:after="0" w:line="210" w:lineRule="auto"/>
        <w:rPr>
          <w:sz w:val="20"/>
          <w:szCs w:val="20"/>
          <w:color w:val="auto"/>
        </w:rPr>
      </w:pPr>
      <w:r>
        <w:rPr>
          <w:rFonts w:ascii="Times New Roman" w:cs="Times New Roman" w:eastAsia="Times New Roman" w:hAnsi="Times New Roman"/>
          <w:sz w:val="11"/>
          <w:szCs w:val="11"/>
          <w:b w:val="1"/>
          <w:bCs w:val="1"/>
          <w:color w:val="auto"/>
        </w:rPr>
        <w:t>Jones Day</w:t>
      </w:r>
    </w:p>
    <w:p>
      <w:pPr>
        <w:jc w:val="center"/>
        <w:ind w:right="-1120"/>
        <w:spacing w:after="0" w:line="210" w:lineRule="auto"/>
        <w:rPr>
          <w:sz w:val="20"/>
          <w:szCs w:val="20"/>
          <w:color w:val="auto"/>
        </w:rPr>
      </w:pPr>
      <w:r>
        <w:rPr>
          <w:rFonts w:ascii="Times New Roman" w:cs="Times New Roman" w:eastAsia="Times New Roman" w:hAnsi="Times New Roman"/>
          <w:sz w:val="11"/>
          <w:szCs w:val="11"/>
          <w:b w:val="1"/>
          <w:bCs w:val="1"/>
          <w:color w:val="auto"/>
        </w:rPr>
        <w:t>250 Vesey Street</w:t>
      </w:r>
    </w:p>
    <w:p>
      <w:pPr>
        <w:jc w:val="center"/>
        <w:ind w:right="-1120"/>
        <w:spacing w:after="0"/>
        <w:rPr>
          <w:sz w:val="20"/>
          <w:szCs w:val="20"/>
          <w:color w:val="auto"/>
        </w:rPr>
      </w:pPr>
      <w:r>
        <w:rPr>
          <w:rFonts w:ascii="Times New Roman" w:cs="Times New Roman" w:eastAsia="Times New Roman" w:hAnsi="Times New Roman"/>
          <w:sz w:val="11"/>
          <w:szCs w:val="11"/>
          <w:b w:val="1"/>
          <w:bCs w:val="1"/>
          <w:color w:val="auto"/>
        </w:rPr>
        <w:t>New York, NY 10281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3033395</wp:posOffset>
            </wp:positionH>
            <wp:positionV relativeFrom="paragraph">
              <wp:posOffset>165735</wp:posOffset>
            </wp:positionV>
            <wp:extent cx="1100455" cy="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100455" cy="6350"/>
                    </a:xfrm>
                    <a:prstGeom prst="rect">
                      <a:avLst/>
                    </a:prstGeom>
                    <a:noFill/>
                  </pic:spPr>
                </pic:pic>
              </a:graphicData>
            </a:graphic>
          </wp:anchor>
        </w:drawing>
      </w:r>
    </w:p>
    <w:p>
      <w:pPr>
        <w:spacing w:after="0" w:line="394" w:lineRule="exact"/>
        <w:rPr>
          <w:sz w:val="24"/>
          <w:szCs w:val="24"/>
          <w:color w:val="auto"/>
        </w:rPr>
      </w:pPr>
    </w:p>
    <w:p>
      <w:pPr>
        <w:ind w:left="1860"/>
        <w:spacing w:after="0"/>
        <w:rPr>
          <w:sz w:val="20"/>
          <w:szCs w:val="20"/>
          <w:color w:val="auto"/>
        </w:rPr>
      </w:pPr>
      <w:r>
        <w:rPr>
          <w:rFonts w:ascii="Times New Roman" w:cs="Times New Roman" w:eastAsia="Times New Roman" w:hAnsi="Times New Roman"/>
          <w:sz w:val="11"/>
          <w:szCs w:val="11"/>
          <w:b w:val="1"/>
          <w:bCs w:val="1"/>
          <w:color w:val="auto"/>
        </w:rPr>
        <w:t>Approximate date of commencement of proposed sale to the public</w:t>
      </w:r>
      <w:r>
        <w:rPr>
          <w:rFonts w:ascii="Times New Roman" w:cs="Times New Roman" w:eastAsia="Times New Roman" w:hAnsi="Times New Roman"/>
          <w:sz w:val="11"/>
          <w:szCs w:val="11"/>
          <w:color w:val="auto"/>
        </w:rPr>
        <w:t>: From time to time after the effective date of this Registration Statement.</w:t>
      </w:r>
    </w:p>
    <w:p>
      <w:pPr>
        <w:spacing w:after="0" w:line="134" w:lineRule="exact"/>
        <w:rPr>
          <w:sz w:val="24"/>
          <w:szCs w:val="24"/>
          <w:color w:val="auto"/>
        </w:rPr>
      </w:pPr>
    </w:p>
    <w:p>
      <w:pPr>
        <w:ind w:left="1860"/>
        <w:spacing w:after="0" w:line="127" w:lineRule="exact"/>
        <w:rPr>
          <w:sz w:val="20"/>
          <w:szCs w:val="20"/>
          <w:color w:val="auto"/>
        </w:rPr>
      </w:pPr>
      <w:r>
        <w:rPr>
          <w:rFonts w:ascii="Times New Roman" w:cs="Times New Roman" w:eastAsia="Times New Roman" w:hAnsi="Times New Roman"/>
          <w:sz w:val="11"/>
          <w:szCs w:val="11"/>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1"/>
          <w:szCs w:val="11"/>
          <w:color w:val="auto"/>
        </w:rPr>
        <w:t>☐</w:t>
      </w:r>
    </w:p>
    <w:p>
      <w:pPr>
        <w:spacing w:after="0" w:line="180" w:lineRule="exact"/>
        <w:rPr>
          <w:sz w:val="24"/>
          <w:szCs w:val="24"/>
          <w:color w:val="auto"/>
        </w:rPr>
      </w:pPr>
    </w:p>
    <w:p>
      <w:pPr>
        <w:ind w:left="1540" w:right="619" w:firstLine="329"/>
        <w:spacing w:after="0" w:line="139" w:lineRule="exact"/>
        <w:rPr>
          <w:sz w:val="20"/>
          <w:szCs w:val="20"/>
          <w:color w:val="auto"/>
        </w:rPr>
      </w:pPr>
      <w:r>
        <w:rPr>
          <w:rFonts w:ascii="Times New Roman" w:cs="Times New Roman" w:eastAsia="Times New Roman" w:hAnsi="Times New Roman"/>
          <w:sz w:val="11"/>
          <w:szCs w:val="11"/>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1"/>
          <w:szCs w:val="11"/>
          <w:color w:val="auto"/>
        </w:rPr>
        <w:t>☒</w:t>
      </w:r>
    </w:p>
    <w:p>
      <w:pPr>
        <w:spacing w:after="0" w:line="127" w:lineRule="exact"/>
        <w:rPr>
          <w:sz w:val="24"/>
          <w:szCs w:val="24"/>
          <w:color w:val="auto"/>
        </w:rPr>
      </w:pPr>
    </w:p>
    <w:p>
      <w:pPr>
        <w:ind w:left="1540" w:right="839" w:firstLine="329"/>
        <w:spacing w:after="0" w:line="139" w:lineRule="exact"/>
        <w:rPr>
          <w:sz w:val="20"/>
          <w:szCs w:val="20"/>
          <w:color w:val="auto"/>
        </w:rPr>
      </w:pPr>
      <w:r>
        <w:rPr>
          <w:rFonts w:ascii="Times New Roman" w:cs="Times New Roman" w:eastAsia="Times New Roman" w:hAnsi="Times New Roman"/>
          <w:sz w:val="11"/>
          <w:szCs w:val="11"/>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1"/>
          <w:szCs w:val="11"/>
          <w:color w:val="auto"/>
        </w:rPr>
        <w:t>☐</w:t>
      </w:r>
    </w:p>
    <w:p>
      <w:pPr>
        <w:spacing w:after="0" w:line="127" w:lineRule="exact"/>
        <w:rPr>
          <w:sz w:val="24"/>
          <w:szCs w:val="24"/>
          <w:color w:val="auto"/>
        </w:rPr>
      </w:pPr>
    </w:p>
    <w:p>
      <w:pPr>
        <w:ind w:left="1540" w:right="499" w:firstLine="329"/>
        <w:spacing w:after="0" w:line="139" w:lineRule="exact"/>
        <w:rPr>
          <w:sz w:val="20"/>
          <w:szCs w:val="20"/>
          <w:color w:val="auto"/>
        </w:rPr>
      </w:pPr>
      <w:r>
        <w:rPr>
          <w:rFonts w:ascii="Times New Roman" w:cs="Times New Roman" w:eastAsia="Times New Roman" w:hAnsi="Times New Roman"/>
          <w:sz w:val="11"/>
          <w:szCs w:val="11"/>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1"/>
          <w:szCs w:val="11"/>
          <w:color w:val="auto"/>
        </w:rPr>
        <w:t>☐</w:t>
      </w:r>
    </w:p>
    <w:p>
      <w:pPr>
        <w:spacing w:after="0" w:line="127" w:lineRule="exact"/>
        <w:rPr>
          <w:sz w:val="24"/>
          <w:szCs w:val="24"/>
          <w:color w:val="auto"/>
        </w:rPr>
      </w:pPr>
    </w:p>
    <w:p>
      <w:pPr>
        <w:ind w:left="1540" w:right="419" w:firstLine="329"/>
        <w:spacing w:after="0" w:line="139" w:lineRule="exact"/>
        <w:rPr>
          <w:sz w:val="20"/>
          <w:szCs w:val="20"/>
          <w:color w:val="auto"/>
        </w:rPr>
      </w:pPr>
      <w:r>
        <w:rPr>
          <w:rFonts w:ascii="Times New Roman" w:cs="Times New Roman" w:eastAsia="Times New Roman" w:hAnsi="Times New Roman"/>
          <w:sz w:val="11"/>
          <w:szCs w:val="11"/>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1"/>
          <w:szCs w:val="11"/>
          <w:color w:val="auto"/>
        </w:rPr>
        <w:t>☐</w:t>
      </w:r>
    </w:p>
    <w:p>
      <w:pPr>
        <w:spacing w:after="0" w:line="127" w:lineRule="exact"/>
        <w:rPr>
          <w:sz w:val="24"/>
          <w:szCs w:val="24"/>
          <w:color w:val="auto"/>
        </w:rPr>
      </w:pPr>
    </w:p>
    <w:p>
      <w:pPr>
        <w:ind w:left="1540" w:right="519" w:firstLine="329"/>
        <w:spacing w:after="0" w:line="139" w:lineRule="exact"/>
        <w:rPr>
          <w:sz w:val="20"/>
          <w:szCs w:val="20"/>
          <w:color w:val="auto"/>
        </w:rPr>
      </w:pPr>
      <w:r>
        <w:rPr>
          <w:rFonts w:ascii="Times New Roman" w:cs="Times New Roman" w:eastAsia="Times New Roman" w:hAnsi="Times New Roman"/>
          <w:sz w:val="11"/>
          <w:szCs w:val="11"/>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1"/>
          <w:szCs w:val="11"/>
          <w:color w:val="auto"/>
        </w:rPr>
        <w:t>☐</w:t>
      </w:r>
    </w:p>
    <w:p>
      <w:pPr>
        <w:spacing w:after="0" w:line="46" w:lineRule="exact"/>
        <w:rPr>
          <w:sz w:val="24"/>
          <w:szCs w:val="24"/>
          <w:color w:val="auto"/>
        </w:rPr>
      </w:pPr>
    </w:p>
    <w:p>
      <w:pPr>
        <w:ind w:left="1860"/>
        <w:spacing w:after="0"/>
        <w:rPr>
          <w:sz w:val="20"/>
          <w:szCs w:val="20"/>
          <w:color w:val="auto"/>
        </w:rPr>
      </w:pPr>
      <w:r>
        <w:rPr>
          <w:rFonts w:ascii="Times New Roman" w:cs="Times New Roman" w:eastAsia="Times New Roman" w:hAnsi="Times New Roman"/>
          <w:sz w:val="10"/>
          <w:szCs w:val="10"/>
          <w:color w:val="auto"/>
        </w:rPr>
        <w:t>Indicate by check mark whether the registrant is a large accelerated filer, an accelerated filer, a non-accelerated filer, a smaller reporting company, or an emerging growth company.</w:t>
      </w:r>
    </w:p>
    <w:p>
      <w:pPr>
        <w:spacing w:after="0" w:line="8" w:lineRule="exact"/>
        <w:rPr>
          <w:sz w:val="24"/>
          <w:szCs w:val="24"/>
          <w:color w:val="auto"/>
        </w:rPr>
      </w:pPr>
    </w:p>
    <w:p>
      <w:pPr>
        <w:ind w:left="1540"/>
        <w:spacing w:after="0"/>
        <w:rPr>
          <w:sz w:val="20"/>
          <w:szCs w:val="20"/>
          <w:color w:val="auto"/>
        </w:rPr>
      </w:pPr>
      <w:r>
        <w:rPr>
          <w:rFonts w:ascii="Times New Roman" w:cs="Times New Roman" w:eastAsia="Times New Roman" w:hAnsi="Times New Roman"/>
          <w:sz w:val="11"/>
          <w:szCs w:val="11"/>
          <w:color w:val="auto"/>
        </w:rPr>
        <w:t>See the definitions of “large accelerated filer,” “accelerated filer,” “smaller reporting company” and “emerging growth company” in Rule 12b-2 of the Exchange Act:</w:t>
      </w:r>
    </w:p>
    <w:p>
      <w:pPr>
        <w:spacing w:after="0" w:line="140" w:lineRule="exact"/>
        <w:rPr>
          <w:sz w:val="24"/>
          <w:szCs w:val="24"/>
          <w:color w:val="auto"/>
        </w:rPr>
      </w:pPr>
    </w:p>
    <w:tbl>
      <w:tblPr>
        <w:tblLayout w:type="fixed"/>
        <w:tblInd w:w="1540" w:type="dxa"/>
        <w:tblCellMar>
          <w:top w:w="0" w:type="dxa"/>
          <w:left w:w="0" w:type="dxa"/>
          <w:bottom w:w="0" w:type="dxa"/>
          <w:right w:w="0" w:type="dxa"/>
        </w:tblCellMar>
      </w:tblPr>
      <w:tr>
        <w:trPr>
          <w:trHeight w:val="171"/>
        </w:trPr>
        <w:tc>
          <w:tcPr>
            <w:tcW w:w="1180" w:type="dxa"/>
            <w:vAlign w:val="bottom"/>
          </w:tcPr>
          <w:p>
            <w:pPr>
              <w:spacing w:after="0"/>
              <w:rPr>
                <w:sz w:val="20"/>
                <w:szCs w:val="20"/>
                <w:color w:val="auto"/>
              </w:rPr>
            </w:pPr>
            <w:r>
              <w:rPr>
                <w:rFonts w:ascii="Times New Roman" w:cs="Times New Roman" w:eastAsia="Times New Roman" w:hAnsi="Times New Roman"/>
                <w:sz w:val="11"/>
                <w:szCs w:val="11"/>
                <w:color w:val="auto"/>
              </w:rPr>
              <w:t>Large accelerated filer</w:t>
            </w:r>
          </w:p>
        </w:tc>
        <w:tc>
          <w:tcPr>
            <w:tcW w:w="2780" w:type="dxa"/>
            <w:vAlign w:val="bottom"/>
          </w:tcPr>
          <w:p>
            <w:pPr>
              <w:ind w:left="220"/>
              <w:spacing w:after="0" w:line="111" w:lineRule="exact"/>
              <w:rPr>
                <w:sz w:val="20"/>
                <w:szCs w:val="20"/>
                <w:color w:val="auto"/>
              </w:rPr>
            </w:pPr>
            <w:r>
              <w:rPr>
                <w:rFonts w:ascii="MS PGothic" w:cs="MS PGothic" w:eastAsia="MS PGothic" w:hAnsi="MS PGothic"/>
                <w:sz w:val="11"/>
                <w:szCs w:val="11"/>
                <w:color w:val="auto"/>
              </w:rPr>
              <w:t>☐</w:t>
            </w:r>
          </w:p>
        </w:tc>
        <w:tc>
          <w:tcPr>
            <w:tcW w:w="3860" w:type="dxa"/>
            <w:vAlign w:val="bottom"/>
          </w:tcPr>
          <w:p>
            <w:pPr>
              <w:ind w:left="2460"/>
              <w:spacing w:after="0"/>
              <w:rPr>
                <w:sz w:val="20"/>
                <w:szCs w:val="20"/>
                <w:color w:val="auto"/>
              </w:rPr>
            </w:pPr>
            <w:r>
              <w:rPr>
                <w:rFonts w:ascii="Times New Roman" w:cs="Times New Roman" w:eastAsia="Times New Roman" w:hAnsi="Times New Roman"/>
                <w:sz w:val="11"/>
                <w:szCs w:val="11"/>
                <w:color w:val="auto"/>
              </w:rPr>
              <w:t>Accelerated filer</w:t>
            </w:r>
          </w:p>
        </w:tc>
        <w:tc>
          <w:tcPr>
            <w:tcW w:w="340" w:type="dxa"/>
            <w:vAlign w:val="bottom"/>
          </w:tcPr>
          <w:p>
            <w:pPr>
              <w:ind w:left="24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71"/>
        </w:trPr>
        <w:tc>
          <w:tcPr>
            <w:tcW w:w="1180" w:type="dxa"/>
            <w:vAlign w:val="bottom"/>
          </w:tcPr>
          <w:p>
            <w:pPr>
              <w:spacing w:after="0"/>
              <w:rPr>
                <w:sz w:val="20"/>
                <w:szCs w:val="20"/>
                <w:color w:val="auto"/>
              </w:rPr>
            </w:pPr>
            <w:r>
              <w:rPr>
                <w:rFonts w:ascii="Times New Roman" w:cs="Times New Roman" w:eastAsia="Times New Roman" w:hAnsi="Times New Roman"/>
                <w:sz w:val="11"/>
                <w:szCs w:val="11"/>
                <w:color w:val="auto"/>
              </w:rPr>
              <w:t>Non-accelerated filer</w:t>
            </w:r>
          </w:p>
        </w:tc>
        <w:tc>
          <w:tcPr>
            <w:tcW w:w="2780" w:type="dxa"/>
            <w:vAlign w:val="bottom"/>
          </w:tcPr>
          <w:p>
            <w:pPr>
              <w:ind w:left="220"/>
              <w:spacing w:after="0" w:line="111" w:lineRule="exact"/>
              <w:rPr>
                <w:sz w:val="20"/>
                <w:szCs w:val="20"/>
                <w:color w:val="auto"/>
              </w:rPr>
            </w:pPr>
            <w:r>
              <w:rPr>
                <w:rFonts w:ascii="MS PGothic" w:cs="MS PGothic" w:eastAsia="MS PGothic" w:hAnsi="MS PGothic"/>
                <w:sz w:val="11"/>
                <w:szCs w:val="11"/>
                <w:color w:val="auto"/>
              </w:rPr>
              <w:t>☒</w:t>
            </w:r>
          </w:p>
        </w:tc>
        <w:tc>
          <w:tcPr>
            <w:tcW w:w="3860" w:type="dxa"/>
            <w:vAlign w:val="bottom"/>
          </w:tcPr>
          <w:p>
            <w:pPr>
              <w:ind w:left="2460"/>
              <w:spacing w:after="0"/>
              <w:rPr>
                <w:sz w:val="20"/>
                <w:szCs w:val="20"/>
                <w:color w:val="auto"/>
              </w:rPr>
            </w:pPr>
            <w:r>
              <w:rPr>
                <w:rFonts w:ascii="Times New Roman" w:cs="Times New Roman" w:eastAsia="Times New Roman" w:hAnsi="Times New Roman"/>
                <w:sz w:val="11"/>
                <w:szCs w:val="11"/>
                <w:color w:val="auto"/>
              </w:rPr>
              <w:t>Smaller reporting company</w:t>
            </w:r>
          </w:p>
        </w:tc>
        <w:tc>
          <w:tcPr>
            <w:tcW w:w="340" w:type="dxa"/>
            <w:vAlign w:val="bottom"/>
          </w:tcPr>
          <w:p>
            <w:pPr>
              <w:ind w:left="24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80"/>
        </w:trPr>
        <w:tc>
          <w:tcPr>
            <w:tcW w:w="118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3860" w:type="dxa"/>
            <w:vAlign w:val="bottom"/>
          </w:tcPr>
          <w:p>
            <w:pPr>
              <w:ind w:left="2460"/>
              <w:spacing w:after="0"/>
              <w:rPr>
                <w:sz w:val="20"/>
                <w:szCs w:val="20"/>
                <w:color w:val="auto"/>
              </w:rPr>
            </w:pPr>
            <w:r>
              <w:rPr>
                <w:rFonts w:ascii="Times New Roman" w:cs="Times New Roman" w:eastAsia="Times New Roman" w:hAnsi="Times New Roman"/>
                <w:sz w:val="11"/>
                <w:szCs w:val="11"/>
                <w:color w:val="auto"/>
              </w:rPr>
              <w:t>Emerging growth company</w:t>
            </w:r>
          </w:p>
        </w:tc>
        <w:tc>
          <w:tcPr>
            <w:tcW w:w="340" w:type="dxa"/>
            <w:vAlign w:val="bottom"/>
          </w:tcPr>
          <w:p>
            <w:pPr>
              <w:ind w:left="240"/>
              <w:spacing w:after="0" w:line="111" w:lineRule="exact"/>
              <w:rPr>
                <w:sz w:val="20"/>
                <w:szCs w:val="20"/>
                <w:color w:val="auto"/>
              </w:rPr>
            </w:pPr>
            <w:r>
              <w:rPr>
                <w:rFonts w:ascii="MS PGothic" w:cs="MS PGothic" w:eastAsia="MS PGothic" w:hAnsi="MS PGothic"/>
                <w:sz w:val="11"/>
                <w:szCs w:val="11"/>
                <w:color w:val="auto"/>
                <w:w w:val="72"/>
              </w:rPr>
              <w:t>☐</w:t>
            </w:r>
          </w:p>
        </w:tc>
      </w:tr>
    </w:tbl>
    <w:p>
      <w:pPr>
        <w:spacing w:after="0" w:line="126" w:lineRule="exact"/>
        <w:rPr>
          <w:sz w:val="24"/>
          <w:szCs w:val="24"/>
          <w:color w:val="auto"/>
        </w:rPr>
      </w:pPr>
    </w:p>
    <w:p>
      <w:pPr>
        <w:ind w:left="1540" w:right="839" w:firstLine="329"/>
        <w:spacing w:after="0" w:line="139" w:lineRule="exact"/>
        <w:rPr>
          <w:sz w:val="20"/>
          <w:szCs w:val="20"/>
          <w:color w:val="auto"/>
        </w:rPr>
      </w:pPr>
      <w:r>
        <w:rPr>
          <w:rFonts w:ascii="Times New Roman" w:cs="Times New Roman" w:eastAsia="Times New Roman" w:hAnsi="Times New Roman"/>
          <w:sz w:val="11"/>
          <w:szCs w:val="11"/>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1"/>
          <w:szCs w:val="1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3033395</wp:posOffset>
            </wp:positionH>
            <wp:positionV relativeFrom="paragraph">
              <wp:posOffset>155575</wp:posOffset>
            </wp:positionV>
            <wp:extent cx="1100455" cy="63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100455" cy="6350"/>
                    </a:xfrm>
                    <a:prstGeom prst="rect">
                      <a:avLst/>
                    </a:prstGeom>
                    <a:noFill/>
                  </pic:spPr>
                </pic:pic>
              </a:graphicData>
            </a:graphic>
          </wp:anchor>
        </w:drawing>
      </w:r>
    </w:p>
    <w:p>
      <w:pPr>
        <w:spacing w:after="0" w:line="377" w:lineRule="exact"/>
        <w:rPr>
          <w:sz w:val="24"/>
          <w:szCs w:val="24"/>
          <w:color w:val="auto"/>
        </w:rPr>
      </w:pPr>
    </w:p>
    <w:p>
      <w:pPr>
        <w:jc w:val="both"/>
        <w:ind w:left="1540" w:right="459"/>
        <w:spacing w:after="0" w:line="229" w:lineRule="auto"/>
        <w:rPr>
          <w:sz w:val="20"/>
          <w:szCs w:val="20"/>
          <w:color w:val="auto"/>
        </w:rPr>
      </w:pPr>
      <w:r>
        <w:rPr>
          <w:rFonts w:ascii="Times New Roman" w:cs="Times New Roman" w:eastAsia="Times New Roman" w:hAnsi="Times New Roman"/>
          <w:sz w:val="11"/>
          <w:szCs w:val="11"/>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or until this Registration Statement shall become effective on such date as the Securities and Exchange Commission, acting pursuant to such Section 8(a), may determine.</w:t>
      </w:r>
    </w:p>
    <w:p>
      <w:pPr>
        <w:spacing w:after="0" w:line="132" w:lineRule="exact"/>
        <w:rPr>
          <w:sz w:val="24"/>
          <w:szCs w:val="24"/>
          <w:color w:val="auto"/>
        </w:rPr>
      </w:pPr>
    </w:p>
    <w:p>
      <w:pPr>
        <w:ind w:left="1540" w:right="499"/>
        <w:spacing w:after="0" w:line="220" w:lineRule="auto"/>
        <w:rPr>
          <w:sz w:val="20"/>
          <w:szCs w:val="20"/>
          <w:color w:val="auto"/>
        </w:rPr>
      </w:pPr>
      <w:r>
        <w:rPr>
          <w:rFonts w:ascii="Times New Roman" w:cs="Times New Roman" w:eastAsia="Times New Roman" w:hAnsi="Times New Roman"/>
          <w:sz w:val="11"/>
          <w:szCs w:val="11"/>
          <w:b w:val="1"/>
          <w:bCs w:val="1"/>
          <w:color w:val="auto"/>
        </w:rPr>
        <w:t>The Registrant has an existing “shelf” registration statement, File No. 333-273062 (the “Prior Registration Statement”), that was declared effective on October 27, 2023. The registrant has included in this Registration Statement 10,738,040 shares of Class A Common Stock, par value $0.0001 per share, of the Registrant (the “Unsold Securities”) registered pursuant to the Prior Registration Statement. Pursuant to Rule 415(a)(6) under the Securities Act, $3,925.44 of filing fees previously paid in connection with the Unsold Securities will continue to be applied to the Unsold Securities. To the extent that, after the filing date hereof and prior to the effectiveness of this Registration Statement, the Registrant sells or issues any Unsold Securities pursuant to the Prior Registration Statement, the Registrant will identify in a pre-effective amendment to this Registration Statement the updated amount of Unsold Securities to be included in this Registration Statement pursuant to Rule 415(a)(6).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972820</wp:posOffset>
            </wp:positionH>
            <wp:positionV relativeFrom="paragraph">
              <wp:posOffset>101600</wp:posOffset>
            </wp:positionV>
            <wp:extent cx="5221605" cy="63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221605" cy="6350"/>
                    </a:xfrm>
                    <a:prstGeom prst="rect">
                      <a:avLst/>
                    </a:prstGeom>
                    <a:noFill/>
                  </pic:spPr>
                </pic:pic>
              </a:graphicData>
            </a:graphic>
          </wp:anchor>
        </w:drawing>
        <w:drawing>
          <wp:anchor simplePos="0" relativeHeight="251657728" behindDoc="1" locked="0" layoutInCell="0" allowOverlap="1">
            <wp:simplePos x="0" y="0"/>
            <wp:positionH relativeFrom="column">
              <wp:posOffset>972820</wp:posOffset>
            </wp:positionH>
            <wp:positionV relativeFrom="paragraph">
              <wp:posOffset>133350</wp:posOffset>
            </wp:positionV>
            <wp:extent cx="5221605" cy="63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221605" cy="6350"/>
                    </a:xfrm>
                    <a:prstGeom prst="rect">
                      <a:avLst/>
                    </a:prstGeom>
                    <a:noFill/>
                  </pic:spPr>
                </pic:pic>
              </a:graphicData>
            </a:graphic>
          </wp:anchor>
        </w:drawing>
      </w:r>
    </w:p>
    <w:p>
      <w:pPr>
        <w:sectPr>
          <w:pgSz w:w="11900" w:h="16838" w:orient="portrait"/>
          <w:cols w:equalWidth="0" w:num="1">
            <w:col w:w="10159"/>
          </w:cols>
          <w:pgMar w:left="300" w:top="203"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05345" cy="31750"/>
                    </a:xfrm>
                    <a:prstGeom prst="rect">
                      <a:avLst/>
                    </a:prstGeom>
                    <a:noFill/>
                  </pic:spPr>
                </pic:pic>
              </a:graphicData>
            </a:graphic>
          </wp:anchor>
        </w:drawing>
        <w:t>Table of Contents</w:t>
      </w:r>
    </w:p>
    <w:p>
      <w:pPr>
        <w:spacing w:after="0" w:line="244"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3"/>
          <w:szCs w:val="13"/>
          <w:b w:val="1"/>
          <w:bCs w:val="1"/>
          <w:color w:val="auto"/>
        </w:rPr>
        <w:t>EXPLANATORY NOTE</w:t>
      </w:r>
    </w:p>
    <w:p>
      <w:pPr>
        <w:spacing w:after="0" w:line="177"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3"/>
          <w:szCs w:val="13"/>
          <w:color w:val="auto"/>
        </w:rPr>
        <w:t>This registration statement contains three prospectuses:</w:t>
      </w:r>
    </w:p>
    <w:p>
      <w:pPr>
        <w:spacing w:after="0" w:line="102" w:lineRule="exact"/>
        <w:rPr>
          <w:sz w:val="20"/>
          <w:szCs w:val="20"/>
          <w:color w:val="auto"/>
        </w:rPr>
      </w:pPr>
    </w:p>
    <w:p>
      <w:pPr>
        <w:jc w:val="both"/>
        <w:ind w:left="2260" w:right="719" w:hanging="325"/>
        <w:spacing w:after="0" w:line="278" w:lineRule="auto"/>
        <w:tabs>
          <w:tab w:leader="none" w:pos="2260" w:val="left"/>
        </w:tabs>
        <w:numPr>
          <w:ilvl w:val="0"/>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base prospectus (the “Base Prospectus”), which covers offers and sales by Cibus, Inc. of shares of Class A common stock, par value $0.0001 per share (“Class A Common Stock”), shares of preferred stock, depositary shares, warrants, subscription rights and units of Cibus, Inc., which together shall have an aggregate initial offering price not to exceed $200,000,000;</w:t>
      </w:r>
    </w:p>
    <w:p>
      <w:pPr>
        <w:spacing w:after="0" w:line="54" w:lineRule="exact"/>
        <w:rPr>
          <w:rFonts w:ascii="Times New Roman" w:cs="Times New Roman" w:eastAsia="Times New Roman" w:hAnsi="Times New Roman"/>
          <w:sz w:val="13"/>
          <w:szCs w:val="13"/>
          <w:color w:val="auto"/>
        </w:rPr>
      </w:pPr>
    </w:p>
    <w:p>
      <w:pPr>
        <w:jc w:val="both"/>
        <w:ind w:left="2260" w:right="439" w:hanging="325"/>
        <w:spacing w:after="0" w:line="278" w:lineRule="auto"/>
        <w:tabs>
          <w:tab w:leader="none" w:pos="2260" w:val="left"/>
        </w:tabs>
        <w:numPr>
          <w:ilvl w:val="0"/>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 “at the market offering” prospectus supplement (the “ATM Prospectus Supplement”), which covers offers and sales by Cibus, Inc. of up to a maximum of $50,000,000 of shares of Class A Common Stock that may be offered and sold pursuant to a sales agreement, dated as of May 15, 2026 (the “Sales Agreement”), with Jefferies LLC (the “Agent”); and</w:t>
      </w:r>
    </w:p>
    <w:p>
      <w:pPr>
        <w:spacing w:after="0" w:line="54" w:lineRule="exact"/>
        <w:rPr>
          <w:rFonts w:ascii="Times New Roman" w:cs="Times New Roman" w:eastAsia="Times New Roman" w:hAnsi="Times New Roman"/>
          <w:sz w:val="13"/>
          <w:szCs w:val="13"/>
          <w:color w:val="auto"/>
        </w:rPr>
      </w:pPr>
    </w:p>
    <w:p>
      <w:pPr>
        <w:ind w:left="2260" w:right="659" w:hanging="325"/>
        <w:spacing w:after="0" w:line="297" w:lineRule="auto"/>
        <w:tabs>
          <w:tab w:leader="none" w:pos="2260" w:val="left"/>
        </w:tabs>
        <w:numPr>
          <w:ilvl w:val="0"/>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“warrant” prospectus (the “Warrant Prospectus”) in respect of up to 10,738,040 shares of Class A Common Stock issuable upon the exercise of outstanding warrants (the “Warrant Shares”) issued by Cibus, Inc. at the exercise prices set forth in the Warrant Prospectus.</w:t>
      </w:r>
    </w:p>
    <w:p>
      <w:pPr>
        <w:spacing w:after="0" w:line="114" w:lineRule="exact"/>
        <w:rPr>
          <w:sz w:val="20"/>
          <w:szCs w:val="20"/>
          <w:color w:val="auto"/>
        </w:rPr>
      </w:pPr>
    </w:p>
    <w:p>
      <w:pPr>
        <w:ind w:left="1540" w:right="439" w:firstLine="329"/>
        <w:spacing w:after="0" w:line="297" w:lineRule="auto"/>
        <w:rPr>
          <w:sz w:val="20"/>
          <w:szCs w:val="20"/>
          <w:color w:val="auto"/>
        </w:rPr>
      </w:pPr>
      <w:r>
        <w:rPr>
          <w:rFonts w:ascii="Times New Roman" w:cs="Times New Roman" w:eastAsia="Times New Roman" w:hAnsi="Times New Roman"/>
          <w:sz w:val="13"/>
          <w:szCs w:val="13"/>
          <w:color w:val="auto"/>
        </w:rPr>
        <w:t>The Base Prospectus immediately follows this explanatory note. The specific terms of any securities to be offered pursuant to the Base Prospectus will be specified in a prospectus supplement to the Base Prospectus.</w:t>
      </w:r>
    </w:p>
    <w:p>
      <w:pPr>
        <w:spacing w:after="0" w:line="114" w:lineRule="exact"/>
        <w:rPr>
          <w:sz w:val="20"/>
          <w:szCs w:val="20"/>
          <w:color w:val="auto"/>
        </w:rPr>
      </w:pPr>
    </w:p>
    <w:p>
      <w:pPr>
        <w:ind w:left="1540" w:right="559" w:firstLine="329"/>
        <w:spacing w:after="0" w:line="266" w:lineRule="auto"/>
        <w:rPr>
          <w:sz w:val="20"/>
          <w:szCs w:val="20"/>
          <w:color w:val="auto"/>
        </w:rPr>
      </w:pPr>
      <w:r>
        <w:rPr>
          <w:rFonts w:ascii="Times New Roman" w:cs="Times New Roman" w:eastAsia="Times New Roman" w:hAnsi="Times New Roman"/>
          <w:sz w:val="13"/>
          <w:szCs w:val="13"/>
          <w:color w:val="auto"/>
        </w:rPr>
        <w:t>The ATM Prospectus Supplement immediately follows the Base Prospectus. The shares of Class A Common Stock that may be sold pursuant to the ATM Prospectus Supplement are included in the $200,000,000 of securities that may be offered, issued and sold by Cibus, Inc. under the Base Prospectus. Upon termination of the Sales Agreement with the Agent, any portion of the $50,000,000 of shares of Class A Common Stock included in the ATM Prospectus Supplement that is not sold pursuant to the Sales Agreement will be available for sale in other offerings pursuant to the Base Prospectus, and if no shares of Class A Common Stock are sold under the Sales Agreement, the full $50,000,000 of shares of Class A Common Stock may be sold in other offerings pursuant to the Base Prospectus and a corresponding prospectus supplement.</w:t>
      </w:r>
    </w:p>
    <w:p>
      <w:pPr>
        <w:spacing w:after="0" w:line="135" w:lineRule="exact"/>
        <w:rPr>
          <w:sz w:val="20"/>
          <w:szCs w:val="20"/>
          <w:color w:val="auto"/>
        </w:rPr>
      </w:pPr>
    </w:p>
    <w:p>
      <w:pPr>
        <w:ind w:left="1540" w:right="539" w:firstLine="329"/>
        <w:spacing w:after="0" w:line="278" w:lineRule="auto"/>
        <w:rPr>
          <w:sz w:val="20"/>
          <w:szCs w:val="20"/>
          <w:color w:val="auto"/>
        </w:rPr>
      </w:pPr>
      <w:r>
        <w:rPr>
          <w:rFonts w:ascii="Times New Roman" w:cs="Times New Roman" w:eastAsia="Times New Roman" w:hAnsi="Times New Roman"/>
          <w:sz w:val="13"/>
          <w:szCs w:val="13"/>
          <w:color w:val="auto"/>
        </w:rPr>
        <w:t>The Warrant Prospectus immediately follows the ATM Prospectus Supplement. The shares of Class A Common Stock that may be sold pursuant to the Warrant Prospectus are not included in the $200,000,000 of securities that may be offered, issued and sold by Cibus, Inc. under the Base Prospectus. The Warrant Shares are registered pursuant to General Instruction I.B.4 of Form S-3.</w:t>
      </w:r>
    </w:p>
    <w:p>
      <w:pPr>
        <w:sectPr>
          <w:pgSz w:w="11900" w:h="16838" w:orient="portrait"/>
          <w:cols w:equalWidth="0" w:num="1">
            <w:col w:w="10159"/>
          </w:cols>
          <w:pgMar w:left="300" w:top="375"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05345" cy="31750"/>
                    </a:xfrm>
                    <a:prstGeom prst="rect">
                      <a:avLst/>
                    </a:prstGeom>
                    <a:noFill/>
                  </pic:spPr>
                </pic:pic>
              </a:graphicData>
            </a:graphic>
          </wp:anchor>
        </w:drawing>
        <w:t>Table of Contents</w:t>
      </w:r>
    </w:p>
    <w:p>
      <w:pPr>
        <w:sectPr>
          <w:pgSz w:w="11900" w:h="16838" w:orient="portrait"/>
          <w:cols w:equalWidth="0" w:num="1">
            <w:col w:w="10159"/>
          </w:cols>
          <w:pgMar w:left="300" w:top="375" w:right="1440" w:bottom="1440" w:gutter="0" w:footer="0" w:header="0"/>
        </w:sectPr>
      </w:pPr>
    </w:p>
    <w:p>
      <w:pPr>
        <w:spacing w:after="0" w:line="334" w:lineRule="exact"/>
        <w:rPr>
          <w:sz w:val="20"/>
          <w:szCs w:val="20"/>
          <w:color w:val="auto"/>
        </w:rPr>
      </w:pPr>
    </w:p>
    <w:tbl>
      <w:tblPr>
        <w:tblLayout w:type="fixed"/>
        <w:tblInd w:w="1633" w:type="dxa"/>
        <w:tblCellMar>
          <w:top w:w="0" w:type="dxa"/>
          <w:left w:w="0" w:type="dxa"/>
          <w:bottom w:w="0" w:type="dxa"/>
          <w:right w:w="0" w:type="dxa"/>
        </w:tblCellMar>
      </w:tblPr>
      <w:tr>
        <w:trPr>
          <w:trHeight w:val="540"/>
        </w:trPr>
        <w:tc>
          <w:tcPr>
            <w:tcW w:w="336" w:type="dxa"/>
            <w:vAlign w:val="bottom"/>
            <w:textDirection w:val="btLr"/>
          </w:tcPr>
          <w:p>
            <w:pPr>
              <w:spacing w:after="0" w:line="351" w:lineRule="auto"/>
              <w:rPr>
                <w:sz w:val="20"/>
                <w:szCs w:val="20"/>
                <w:color w:val="auto"/>
              </w:rPr>
            </w:pPr>
            <w:r>
              <w:rPr>
                <w:rFonts w:ascii="Arial" w:cs="Arial" w:eastAsia="Arial" w:hAnsi="Arial"/>
                <w:sz w:val="10"/>
                <w:szCs w:val="10"/>
                <w:b w:val="1"/>
                <w:bCs w:val="1"/>
                <w:color w:val="FF4338"/>
              </w:rPr>
              <w:t>offer or preliminary</w:t>
            </w:r>
          </w:p>
        </w:tc>
      </w:tr>
    </w:tbl>
    <w:p>
      <w:pPr>
        <w:spacing w:after="0" w:line="1" w:lineRule="exact"/>
        <w:rPr>
          <w:sz w:val="20"/>
          <w:szCs w:val="20"/>
          <w:color w:val="auto"/>
        </w:rPr>
      </w:pPr>
    </w:p>
    <w:tbl>
      <w:tblPr>
        <w:tblLayout w:type="fixed"/>
        <w:tblInd w:w="1483" w:type="dxa"/>
        <w:tblCellMar>
          <w:top w:w="0" w:type="dxa"/>
          <w:left w:w="0" w:type="dxa"/>
          <w:bottom w:w="0" w:type="dxa"/>
          <w:right w:w="0" w:type="dxa"/>
        </w:tblCellMar>
      </w:tblPr>
      <w:tr>
        <w:trPr>
          <w:trHeight w:val="8140"/>
        </w:trPr>
        <w:tc>
          <w:tcPr>
            <w:tcW w:w="638" w:type="dxa"/>
            <w:vAlign w:val="bottom"/>
            <w:textDirection w:val="btLr"/>
          </w:tcPr>
          <w:p>
            <w:pPr>
              <w:spacing w:after="0" w:line="256" w:lineRule="auto"/>
              <w:rPr>
                <w:sz w:val="20"/>
                <w:szCs w:val="20"/>
                <w:color w:val="auto"/>
              </w:rPr>
            </w:pPr>
            <w:r>
              <w:rPr>
                <w:rFonts w:ascii="Arial" w:cs="Arial" w:eastAsia="Arial" w:hAnsi="Arial"/>
                <w:sz w:val="13"/>
                <w:szCs w:val="13"/>
                <w:b w:val="1"/>
                <w:bCs w:val="1"/>
                <w:color w:val="FF4338"/>
              </w:rPr>
              <w:t>sale is not permitted. prospectus is not an offer to sell the securities and is not soliciting an offer to buy the securities in any jurisdiction where the preliminary prospectus until the registration statement filed with the Securities and Exchange Commission is effective. This The information in this preliminary prospectus is not complete and may be changed. No securities may be sold pursuant to this</w:t>
            </w:r>
          </w:p>
        </w:tc>
      </w:tr>
    </w:tbl>
    <w:p>
      <w:pPr>
        <w:spacing w:after="0" w:line="20" w:lineRule="exact"/>
        <w:rPr>
          <w:sz w:val="20"/>
          <w:szCs w:val="20"/>
          <w:color w:val="auto"/>
        </w:rPr>
      </w:pPr>
      <w:r>
        <w:rPr>
          <w:sz w:val="20"/>
          <w:szCs w:val="20"/>
          <w:color w:val="auto"/>
        </w:rPr>
        <w:br w:type="column"/>
      </w:r>
    </w:p>
    <w:p>
      <w:pPr>
        <w:spacing w:after="0" w:line="334"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3"/>
          <w:szCs w:val="13"/>
          <w:b w:val="1"/>
          <w:bCs w:val="1"/>
          <w:color w:val="FF4338"/>
        </w:rPr>
        <w:t>SUBJECT TO COMPLETION, DATED MAY 15, 2026</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1316355</wp:posOffset>
            </wp:positionH>
            <wp:positionV relativeFrom="paragraph">
              <wp:posOffset>133350</wp:posOffset>
            </wp:positionV>
            <wp:extent cx="1765935" cy="5118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65935" cy="511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32"/>
          <w:szCs w:val="32"/>
          <w:b w:val="1"/>
          <w:bCs w:val="1"/>
          <w:color w:val="auto"/>
        </w:rPr>
        <w:t>Cibus, Inc.</w:t>
      </w:r>
    </w:p>
    <w:p>
      <w:pPr>
        <w:spacing w:after="0" w:line="167" w:lineRule="exact"/>
        <w:rPr>
          <w:sz w:val="20"/>
          <w:szCs w:val="20"/>
          <w:color w:val="auto"/>
        </w:rPr>
      </w:pPr>
    </w:p>
    <w:p>
      <w:pPr>
        <w:jc w:val="center"/>
        <w:ind w:right="1059"/>
        <w:spacing w:after="0"/>
        <w:rPr>
          <w:sz w:val="20"/>
          <w:szCs w:val="20"/>
          <w:color w:val="auto"/>
        </w:rPr>
      </w:pPr>
      <w:r>
        <w:rPr>
          <w:rFonts w:ascii="Times New Roman" w:cs="Times New Roman" w:eastAsia="Times New Roman" w:hAnsi="Times New Roman"/>
          <w:sz w:val="24"/>
          <w:szCs w:val="24"/>
          <w:b w:val="1"/>
          <w:bCs w:val="1"/>
          <w:color w:val="auto"/>
        </w:rPr>
        <w:t>$200,000,000</w:t>
      </w:r>
    </w:p>
    <w:p>
      <w:pPr>
        <w:spacing w:after="0" w:line="173" w:lineRule="exact"/>
        <w:rPr>
          <w:sz w:val="20"/>
          <w:szCs w:val="20"/>
          <w:color w:val="auto"/>
        </w:rPr>
      </w:pPr>
    </w:p>
    <w:p>
      <w:pPr>
        <w:jc w:val="center"/>
        <w:ind w:right="1059"/>
        <w:spacing w:after="0"/>
        <w:rPr>
          <w:sz w:val="20"/>
          <w:szCs w:val="20"/>
          <w:color w:val="auto"/>
        </w:rPr>
      </w:pPr>
      <w:r>
        <w:rPr>
          <w:rFonts w:ascii="Times New Roman" w:cs="Times New Roman" w:eastAsia="Times New Roman" w:hAnsi="Times New Roman"/>
          <w:sz w:val="19"/>
          <w:szCs w:val="19"/>
          <w:b w:val="1"/>
          <w:bCs w:val="1"/>
          <w:color w:val="auto"/>
        </w:rPr>
        <w:t>Class A Common Stock</w:t>
      </w:r>
    </w:p>
    <w:p>
      <w:pPr>
        <w:spacing w:after="0" w:line="27" w:lineRule="exact"/>
        <w:rPr>
          <w:sz w:val="20"/>
          <w:szCs w:val="20"/>
          <w:color w:val="auto"/>
        </w:rPr>
      </w:pPr>
    </w:p>
    <w:p>
      <w:pPr>
        <w:jc w:val="center"/>
        <w:ind w:right="1059"/>
        <w:spacing w:after="0"/>
        <w:rPr>
          <w:sz w:val="20"/>
          <w:szCs w:val="20"/>
          <w:color w:val="auto"/>
        </w:rPr>
      </w:pPr>
      <w:r>
        <w:rPr>
          <w:rFonts w:ascii="Times New Roman" w:cs="Times New Roman" w:eastAsia="Times New Roman" w:hAnsi="Times New Roman"/>
          <w:sz w:val="19"/>
          <w:szCs w:val="19"/>
          <w:b w:val="1"/>
          <w:bCs w:val="1"/>
          <w:color w:val="auto"/>
        </w:rPr>
        <w:t>Preferred Stock</w:t>
      </w:r>
    </w:p>
    <w:p>
      <w:pPr>
        <w:spacing w:after="0" w:line="3" w:lineRule="exact"/>
        <w:rPr>
          <w:sz w:val="20"/>
          <w:szCs w:val="20"/>
          <w:color w:val="auto"/>
        </w:rPr>
      </w:pPr>
    </w:p>
    <w:p>
      <w:pPr>
        <w:jc w:val="center"/>
        <w:ind w:right="1059"/>
        <w:spacing w:after="0"/>
        <w:rPr>
          <w:sz w:val="20"/>
          <w:szCs w:val="20"/>
          <w:color w:val="auto"/>
        </w:rPr>
      </w:pPr>
      <w:r>
        <w:rPr>
          <w:rFonts w:ascii="Times New Roman" w:cs="Times New Roman" w:eastAsia="Times New Roman" w:hAnsi="Times New Roman"/>
          <w:sz w:val="19"/>
          <w:szCs w:val="19"/>
          <w:b w:val="1"/>
          <w:bCs w:val="1"/>
          <w:color w:val="auto"/>
        </w:rPr>
        <w:t>Depositary Shares</w:t>
      </w:r>
    </w:p>
    <w:p>
      <w:pPr>
        <w:spacing w:after="0" w:line="3" w:lineRule="exact"/>
        <w:rPr>
          <w:sz w:val="20"/>
          <w:szCs w:val="20"/>
          <w:color w:val="auto"/>
        </w:rPr>
      </w:pPr>
    </w:p>
    <w:p>
      <w:pPr>
        <w:jc w:val="center"/>
        <w:ind w:right="1059"/>
        <w:spacing w:after="0"/>
        <w:rPr>
          <w:sz w:val="20"/>
          <w:szCs w:val="20"/>
          <w:color w:val="auto"/>
        </w:rPr>
      </w:pPr>
      <w:r>
        <w:rPr>
          <w:rFonts w:ascii="Times New Roman" w:cs="Times New Roman" w:eastAsia="Times New Roman" w:hAnsi="Times New Roman"/>
          <w:sz w:val="19"/>
          <w:szCs w:val="19"/>
          <w:b w:val="1"/>
          <w:bCs w:val="1"/>
          <w:color w:val="auto"/>
        </w:rPr>
        <w:t>Warrants</w:t>
      </w:r>
    </w:p>
    <w:p>
      <w:pPr>
        <w:spacing w:after="0" w:line="3" w:lineRule="exact"/>
        <w:rPr>
          <w:sz w:val="20"/>
          <w:szCs w:val="20"/>
          <w:color w:val="auto"/>
        </w:rPr>
      </w:pPr>
    </w:p>
    <w:p>
      <w:pPr>
        <w:jc w:val="center"/>
        <w:ind w:right="1059"/>
        <w:spacing w:after="0"/>
        <w:rPr>
          <w:sz w:val="20"/>
          <w:szCs w:val="20"/>
          <w:color w:val="auto"/>
        </w:rPr>
      </w:pPr>
      <w:r>
        <w:rPr>
          <w:rFonts w:ascii="Times New Roman" w:cs="Times New Roman" w:eastAsia="Times New Roman" w:hAnsi="Times New Roman"/>
          <w:sz w:val="19"/>
          <w:szCs w:val="19"/>
          <w:b w:val="1"/>
          <w:bCs w:val="1"/>
          <w:color w:val="auto"/>
        </w:rPr>
        <w:t>Subscription Rights</w:t>
      </w:r>
    </w:p>
    <w:p>
      <w:pPr>
        <w:spacing w:after="0" w:line="3" w:lineRule="exact"/>
        <w:rPr>
          <w:sz w:val="20"/>
          <w:szCs w:val="20"/>
          <w:color w:val="auto"/>
        </w:rPr>
      </w:pPr>
    </w:p>
    <w:p>
      <w:pPr>
        <w:jc w:val="center"/>
        <w:ind w:right="1059"/>
        <w:spacing w:after="0"/>
        <w:rPr>
          <w:sz w:val="20"/>
          <w:szCs w:val="20"/>
          <w:color w:val="auto"/>
        </w:rPr>
      </w:pPr>
      <w:r>
        <w:rPr>
          <w:rFonts w:ascii="Times New Roman" w:cs="Times New Roman" w:eastAsia="Times New Roman" w:hAnsi="Times New Roman"/>
          <w:sz w:val="19"/>
          <w:szCs w:val="19"/>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1738630</wp:posOffset>
            </wp:positionH>
            <wp:positionV relativeFrom="paragraph">
              <wp:posOffset>172720</wp:posOffset>
            </wp:positionV>
            <wp:extent cx="921385" cy="63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921385" cy="6350"/>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ind w:right="1079" w:firstLine="277"/>
        <w:spacing w:after="0" w:line="297" w:lineRule="auto"/>
        <w:rPr>
          <w:sz w:val="20"/>
          <w:szCs w:val="20"/>
          <w:color w:val="auto"/>
        </w:rPr>
      </w:pPr>
      <w:r>
        <w:rPr>
          <w:rFonts w:ascii="Times New Roman" w:cs="Times New Roman" w:eastAsia="Times New Roman" w:hAnsi="Times New Roman"/>
          <w:sz w:val="13"/>
          <w:szCs w:val="13"/>
          <w:color w:val="auto"/>
        </w:rPr>
        <w:t>This prospectus relates to the offer and sale by Cibus, Inc. (“Cibus” or the “Company”) of up to an aggregate $200,000,000 of the securities identified above (the “securities”) of the Company.</w:t>
      </w:r>
    </w:p>
    <w:p>
      <w:pPr>
        <w:spacing w:after="0" w:line="114" w:lineRule="exact"/>
        <w:rPr>
          <w:sz w:val="20"/>
          <w:szCs w:val="20"/>
          <w:color w:val="auto"/>
        </w:rPr>
      </w:pPr>
    </w:p>
    <w:p>
      <w:pPr>
        <w:ind w:right="1139" w:firstLine="277"/>
        <w:spacing w:after="0" w:line="265" w:lineRule="auto"/>
        <w:rPr>
          <w:sz w:val="20"/>
          <w:szCs w:val="20"/>
          <w:color w:val="auto"/>
        </w:rPr>
      </w:pPr>
      <w:r>
        <w:rPr>
          <w:rFonts w:ascii="Times New Roman" w:cs="Times New Roman" w:eastAsia="Times New Roman" w:hAnsi="Times New Roman"/>
          <w:sz w:val="13"/>
          <w:szCs w:val="13"/>
          <w:color w:val="auto"/>
        </w:rPr>
        <w:t>This prospectus provides you with a general description of the securities offered hereby, including the Company’s Class A Common Stock, par value $0.0001 per share (the “Class A Common Stock”), and the general manner in which the Company will offer such securities. More specific terms of any securities that the Company offers may be provided in a prospectus supplement that describes, among other things, the specific amounts and prices of the securities being offered and the terms of the offering. The prospectus supplement may also add, update or change information contained in this prospectus. In addition, the Company may supplement, update or change any of the information contained in this prospectus by incorporating information by reference into this prospectus.</w:t>
      </w:r>
    </w:p>
    <w:p>
      <w:pPr>
        <w:spacing w:after="0" w:line="135" w:lineRule="exact"/>
        <w:rPr>
          <w:sz w:val="20"/>
          <w:szCs w:val="20"/>
          <w:color w:val="auto"/>
        </w:rPr>
      </w:pPr>
    </w:p>
    <w:p>
      <w:pPr>
        <w:ind w:right="1059" w:firstLine="277"/>
        <w:spacing w:after="0" w:line="263" w:lineRule="auto"/>
        <w:rPr>
          <w:sz w:val="20"/>
          <w:szCs w:val="20"/>
          <w:color w:val="auto"/>
        </w:rPr>
      </w:pPr>
      <w:r>
        <w:rPr>
          <w:rFonts w:ascii="Times New Roman" w:cs="Times New Roman" w:eastAsia="Times New Roman" w:hAnsi="Times New Roman"/>
          <w:sz w:val="13"/>
          <w:szCs w:val="13"/>
          <w:color w:val="auto"/>
        </w:rPr>
        <w:t>The Company may offer and sell these securities separately or in combination from time to time in amounts, at prices and on terms to be determined by market conditions and other factors at the time of the Company’s offerings, including at prevailing market prices or at prices negotiated with buyers. The Company may offer and sell these securities through agents, through underwriters or dealers or directly to one or more purchasers, including existing stockholders. This prospectus provides you with a general description of these securities and the general manner in which the Company may offer the securities. Each time securities are offered, the Company may provide a prospectus supplement that will contain specific information about the terms of that offering. For example, any specific allocation of the net proceeds of an offering of securities to a specific purpose and any commissions or discounts payable to agents, dealers or underwriters will be determined at the time of the offering and will be described in any applicable prospectus supplement.</w:t>
      </w:r>
    </w:p>
    <w:p>
      <w:pPr>
        <w:spacing w:after="0" w:line="13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3"/>
          <w:szCs w:val="13"/>
          <w:color w:val="auto"/>
        </w:rPr>
        <w:t>The Company’s Class A Common Stock is traded on the Nasdaq Capital Market (“Nasdaq”) under the symbol “CBUS”.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closing price for the Company’s Class A Common Stock on May 14, 2026 was $1.41 per share, as reported on Nasdaq.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1738630</wp:posOffset>
            </wp:positionH>
            <wp:positionV relativeFrom="paragraph">
              <wp:posOffset>173990</wp:posOffset>
            </wp:positionV>
            <wp:extent cx="921385" cy="63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921385" cy="635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right="1119" w:firstLine="347"/>
        <w:spacing w:after="0" w:line="248" w:lineRule="auto"/>
        <w:rPr>
          <w:sz w:val="20"/>
          <w:szCs w:val="20"/>
          <w:color w:val="auto"/>
        </w:rPr>
      </w:pPr>
      <w:r>
        <w:rPr>
          <w:rFonts w:ascii="Times New Roman" w:cs="Times New Roman" w:eastAsia="Times New Roman" w:hAnsi="Times New Roman"/>
          <w:sz w:val="16"/>
          <w:szCs w:val="16"/>
          <w:b w:val="1"/>
          <w:bCs w:val="1"/>
          <w:color w:val="auto"/>
        </w:rPr>
        <w:t>Investing in the Company’s securities involves risks. See “</w:t>
      </w:r>
      <w:r>
        <w:rPr>
          <w:rFonts w:ascii="Times New Roman" w:cs="Times New Roman" w:eastAsia="Times New Roman" w:hAnsi="Times New Roman"/>
          <w:sz w:val="16"/>
          <w:szCs w:val="16"/>
          <w:b w:val="1"/>
          <w:bCs w:val="1"/>
          <w:u w:val="single" w:color="auto"/>
          <w:color w:val="0000EE"/>
        </w:rPr>
        <w:t>Risk Factors</w:t>
      </w:r>
      <w:r>
        <w:rPr>
          <w:rFonts w:ascii="Times New Roman" w:cs="Times New Roman" w:eastAsia="Times New Roman" w:hAnsi="Times New Roman"/>
          <w:sz w:val="16"/>
          <w:szCs w:val="16"/>
          <w:b w:val="1"/>
          <w:bCs w:val="1"/>
          <w:color w:val="auto"/>
        </w:rPr>
        <w:t>” beginning on page 5 of this prospectus and under similar headings in the applicable prospectus supplement and the documents incorporated by reference for a discussion of facts you should carefully consider before investing in the securities.</w:t>
      </w:r>
    </w:p>
    <w:p>
      <w:pPr>
        <w:spacing w:after="0" w:line="132" w:lineRule="exact"/>
        <w:rPr>
          <w:sz w:val="20"/>
          <w:szCs w:val="20"/>
          <w:color w:val="auto"/>
        </w:rPr>
      </w:pPr>
    </w:p>
    <w:p>
      <w:pPr>
        <w:sectPr>
          <w:pgSz w:w="11900" w:h="16838" w:orient="portrait"/>
          <w:cols w:equalWidth="0" w:num="2">
            <w:col w:w="2121" w:space="59"/>
            <w:col w:w="7979"/>
          </w:cols>
          <w:pgMar w:left="300" w:top="375" w:right="1440" w:bottom="1440" w:gutter="0" w:footer="0" w:header="0"/>
          <w:type w:val="continuous"/>
        </w:sectPr>
      </w:pPr>
    </w:p>
    <w:p>
      <w:pPr>
        <w:jc w:val="both"/>
        <w:ind w:left="2180" w:right="1099" w:firstLine="277"/>
        <w:spacing w:after="0" w:line="281" w:lineRule="auto"/>
        <w:rPr>
          <w:sz w:val="20"/>
          <w:szCs w:val="20"/>
          <w:color w:val="auto"/>
        </w:rPr>
      </w:pPr>
      <w:r>
        <w:rPr>
          <w:rFonts w:ascii="Times New Roman" w:cs="Times New Roman" w:eastAsia="Times New Roman" w:hAnsi="Times New Roman"/>
          <w:sz w:val="13"/>
          <w:szCs w:val="13"/>
          <w:b w:val="1"/>
          <w:bCs w:val="1"/>
          <w:color w:val="auto"/>
        </w:rPr>
        <w:t>Neither the Securities and Exchange Commission nor any state securities commission has approved or disapproved of the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3122930</wp:posOffset>
            </wp:positionH>
            <wp:positionV relativeFrom="paragraph">
              <wp:posOffset>150495</wp:posOffset>
            </wp:positionV>
            <wp:extent cx="921385" cy="63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921385" cy="6350"/>
                    </a:xfrm>
                    <a:prstGeom prst="rect">
                      <a:avLst/>
                    </a:prstGeom>
                    <a:noFill/>
                  </pic:spPr>
                </pic:pic>
              </a:graphicData>
            </a:graphic>
          </wp:anchor>
        </w:drawing>
      </w:r>
    </w:p>
    <w:p>
      <w:pPr>
        <w:spacing w:after="0" w:line="372"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3"/>
          <w:szCs w:val="13"/>
          <w:b w:val="1"/>
          <w:bCs w:val="1"/>
          <w:color w:val="auto"/>
        </w:rPr>
        <w:t>The date of this prospectus is            , 2026.</w:t>
      </w:r>
    </w:p>
    <w:p>
      <w:pPr>
        <w:sectPr>
          <w:pgSz w:w="11900" w:h="16838" w:orient="portrait"/>
          <w:cols w:equalWidth="0" w:num="1">
            <w:col w:w="10159"/>
          </w:cols>
          <w:pgMar w:left="300" w:top="375" w:right="1440"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05345" cy="31750"/>
                    </a:xfrm>
                    <a:prstGeom prst="rect">
                      <a:avLst/>
                    </a:prstGeom>
                    <a:noFill/>
                  </pic:spPr>
                </pic:pic>
              </a:graphicData>
            </a:graphic>
          </wp:anchor>
        </w:drawing>
        <w:t>Table of Contents</w:t>
      </w:r>
    </w:p>
    <w:p>
      <w:pPr>
        <w:spacing w:after="0" w:line="248" w:lineRule="exact"/>
        <w:rPr>
          <w:sz w:val="20"/>
          <w:szCs w:val="20"/>
          <w:color w:val="auto"/>
        </w:rPr>
      </w:pPr>
    </w:p>
    <w:tbl>
      <w:tblPr>
        <w:tblLayout w:type="fixed"/>
        <w:tblInd w:w="1540" w:type="dxa"/>
        <w:tblCellMar>
          <w:top w:w="0" w:type="dxa"/>
          <w:left w:w="0" w:type="dxa"/>
          <w:bottom w:w="0" w:type="dxa"/>
          <w:right w:w="0" w:type="dxa"/>
        </w:tblCellMar>
      </w:tblPr>
      <w:tr>
        <w:trPr>
          <w:trHeight w:val="174"/>
        </w:trPr>
        <w:tc>
          <w:tcPr>
            <w:tcW w:w="5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580" w:type="dxa"/>
            <w:vAlign w:val="bottom"/>
            <w:gridSpan w:val="3"/>
          </w:tcPr>
          <w:p>
            <w:pPr>
              <w:ind w:left="580"/>
              <w:spacing w:after="0"/>
              <w:rPr>
                <w:sz w:val="20"/>
                <w:szCs w:val="20"/>
                <w:color w:val="auto"/>
              </w:rPr>
            </w:pPr>
            <w:r>
              <w:rPr>
                <w:rFonts w:ascii="Times New Roman" w:cs="Times New Roman" w:eastAsia="Times New Roman" w:hAnsi="Times New Roman"/>
                <w:sz w:val="13"/>
                <w:szCs w:val="13"/>
                <w:color w:val="auto"/>
              </w:rPr>
              <w:t>TABLE OF CONTENTS</w:t>
            </w:r>
          </w:p>
        </w:tc>
        <w:tc>
          <w:tcPr>
            <w:tcW w:w="1760" w:type="dxa"/>
            <w:vAlign w:val="bottom"/>
          </w:tcPr>
          <w:p>
            <w:pPr>
              <w:spacing w:after="0"/>
              <w:rPr>
                <w:sz w:val="15"/>
                <w:szCs w:val="15"/>
                <w:color w:val="auto"/>
              </w:rPr>
            </w:pPr>
          </w:p>
        </w:tc>
      </w:tr>
      <w:tr>
        <w:trPr>
          <w:trHeight w:val="313"/>
        </w:trPr>
        <w:tc>
          <w:tcPr>
            <w:tcW w:w="166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3"/>
                <w:szCs w:val="13"/>
                <w:color w:val="0000EE"/>
              </w:rPr>
              <w:t>ABOUT THIS PROSPECTUS</w:t>
            </w:r>
          </w:p>
        </w:tc>
        <w:tc>
          <w:tcPr>
            <w:tcW w:w="4760" w:type="dxa"/>
            <w:vAlign w:val="bottom"/>
            <w:gridSpan w:val="9"/>
          </w:tcPr>
          <w:p>
            <w:pPr>
              <w:spacing w:after="0"/>
              <w:rPr>
                <w:sz w:val="24"/>
                <w:szCs w:val="24"/>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92"/>
        </w:trPr>
        <w:tc>
          <w:tcPr>
            <w:tcW w:w="6420" w:type="dxa"/>
            <w:vAlign w:val="bottom"/>
            <w:gridSpan w:val="15"/>
          </w:tcPr>
          <w:p>
            <w:pPr>
              <w:spacing w:after="0"/>
              <w:rPr>
                <w:sz w:val="20"/>
                <w:szCs w:val="20"/>
                <w:color w:val="auto"/>
              </w:rPr>
            </w:pPr>
            <w:r>
              <w:rPr>
                <w:rFonts w:ascii="Times New Roman" w:cs="Times New Roman" w:eastAsia="Times New Roman" w:hAnsi="Times New Roman"/>
                <w:sz w:val="13"/>
                <w:szCs w:val="13"/>
                <w:color w:val="0000EE"/>
              </w:rPr>
              <w:t>CAUTIONARY NOTE REGARDING FORWARD-LOOKING STATEMENTS</w:t>
            </w:r>
          </w:p>
        </w:tc>
        <w:tc>
          <w:tcPr>
            <w:tcW w:w="1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r>
      <w:tr>
        <w:trPr>
          <w:trHeight w:val="192"/>
        </w:trPr>
        <w:tc>
          <w:tcPr>
            <w:tcW w:w="4300" w:type="dxa"/>
            <w:vAlign w:val="bottom"/>
            <w:tcBorders>
              <w:top w:val="single" w:sz="8" w:color="0000EE"/>
            </w:tcBorders>
            <w:gridSpan w:val="14"/>
          </w:tcPr>
          <w:p>
            <w:pPr>
              <w:spacing w:after="0"/>
              <w:rPr>
                <w:sz w:val="20"/>
                <w:szCs w:val="20"/>
                <w:color w:val="auto"/>
              </w:rPr>
            </w:pPr>
            <w:r>
              <w:rPr>
                <w:rFonts w:ascii="Times New Roman" w:cs="Times New Roman" w:eastAsia="Times New Roman" w:hAnsi="Times New Roman"/>
                <w:sz w:val="13"/>
                <w:szCs w:val="13"/>
                <w:color w:val="0000EE"/>
              </w:rPr>
              <w:t>INFORMATION ABOUT THE COMPANY</w:t>
            </w:r>
          </w:p>
        </w:tc>
        <w:tc>
          <w:tcPr>
            <w:tcW w:w="2120" w:type="dxa"/>
            <w:vAlign w:val="bottom"/>
          </w:tcPr>
          <w:p>
            <w:pPr>
              <w:spacing w:after="0"/>
              <w:rPr>
                <w:sz w:val="16"/>
                <w:szCs w:val="16"/>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r>
      <w:tr>
        <w:trPr>
          <w:trHeight w:val="192"/>
        </w:trPr>
        <w:tc>
          <w:tcPr>
            <w:tcW w:w="2400" w:type="dxa"/>
            <w:vAlign w:val="bottom"/>
            <w:tcBorders>
              <w:top w:val="single" w:sz="8" w:color="0000EE"/>
            </w:tcBorders>
            <w:gridSpan w:val="9"/>
          </w:tcPr>
          <w:p>
            <w:pPr>
              <w:spacing w:after="0"/>
              <w:rPr>
                <w:sz w:val="20"/>
                <w:szCs w:val="20"/>
                <w:color w:val="auto"/>
              </w:rPr>
            </w:pPr>
            <w:r>
              <w:rPr>
                <w:rFonts w:ascii="Times New Roman" w:cs="Times New Roman" w:eastAsia="Times New Roman" w:hAnsi="Times New Roman"/>
                <w:sz w:val="13"/>
                <w:szCs w:val="13"/>
                <w:color w:val="0000EE"/>
              </w:rPr>
              <w:t>RISK FACTORS</w:t>
            </w:r>
          </w:p>
        </w:tc>
        <w:tc>
          <w:tcPr>
            <w:tcW w:w="4020" w:type="dxa"/>
            <w:vAlign w:val="bottom"/>
            <w:gridSpan w:val="6"/>
          </w:tcPr>
          <w:p>
            <w:pPr>
              <w:spacing w:after="0"/>
              <w:rPr>
                <w:sz w:val="16"/>
                <w:szCs w:val="16"/>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r>
      <w:tr>
        <w:trPr>
          <w:trHeight w:val="20"/>
        </w:trPr>
        <w:tc>
          <w:tcPr>
            <w:tcW w:w="5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192"/>
        </w:trPr>
        <w:tc>
          <w:tcPr>
            <w:tcW w:w="118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3"/>
                <w:szCs w:val="13"/>
                <w:color w:val="0000EE"/>
              </w:rPr>
              <w:t>USE OF PROCEEDS</w:t>
            </w:r>
          </w:p>
        </w:tc>
        <w:tc>
          <w:tcPr>
            <w:tcW w:w="5240" w:type="dxa"/>
            <w:vAlign w:val="bottom"/>
            <w:gridSpan w:val="11"/>
          </w:tcPr>
          <w:p>
            <w:pPr>
              <w:spacing w:after="0"/>
              <w:rPr>
                <w:sz w:val="16"/>
                <w:szCs w:val="16"/>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r>
      <w:tr>
        <w:trPr>
          <w:trHeight w:val="192"/>
        </w:trPr>
        <w:tc>
          <w:tcPr>
            <w:tcW w:w="6420" w:type="dxa"/>
            <w:vAlign w:val="bottom"/>
            <w:gridSpan w:val="15"/>
          </w:tcPr>
          <w:p>
            <w:pPr>
              <w:spacing w:after="0"/>
              <w:rPr>
                <w:sz w:val="20"/>
                <w:szCs w:val="20"/>
                <w:color w:val="auto"/>
              </w:rPr>
            </w:pPr>
            <w:r>
              <w:rPr>
                <w:rFonts w:ascii="Times New Roman" w:cs="Times New Roman" w:eastAsia="Times New Roman" w:hAnsi="Times New Roman"/>
                <w:sz w:val="13"/>
                <w:szCs w:val="13"/>
                <w:color w:val="0000EE"/>
              </w:rPr>
              <w:t>PLAN OF DISTRIBUTION</w:t>
            </w:r>
          </w:p>
        </w:tc>
        <w:tc>
          <w:tcPr>
            <w:tcW w:w="1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r>
      <w:tr>
        <w:trPr>
          <w:trHeight w:val="20"/>
        </w:trPr>
        <w:tc>
          <w:tcPr>
            <w:tcW w:w="56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440" w:type="dxa"/>
            <w:vAlign w:val="bottom"/>
            <w:tcBorders>
              <w:right w:val="single" w:sz="8" w:color="0000EE"/>
            </w:tcBorders>
            <w:gridSpan w:val="2"/>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192"/>
        </w:trPr>
        <w:tc>
          <w:tcPr>
            <w:tcW w:w="214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3"/>
                <w:szCs w:val="13"/>
                <w:color w:val="0000EE"/>
              </w:rPr>
              <w:t>DESCRIPTION OF CAPITAL STOCK</w:t>
            </w:r>
          </w:p>
        </w:tc>
        <w:tc>
          <w:tcPr>
            <w:tcW w:w="4280" w:type="dxa"/>
            <w:vAlign w:val="bottom"/>
            <w:gridSpan w:val="7"/>
          </w:tcPr>
          <w:p>
            <w:pPr>
              <w:spacing w:after="0"/>
              <w:rPr>
                <w:sz w:val="16"/>
                <w:szCs w:val="16"/>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r>
      <w:tr>
        <w:trPr>
          <w:trHeight w:val="192"/>
        </w:trPr>
        <w:tc>
          <w:tcPr>
            <w:tcW w:w="248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3"/>
                <w:szCs w:val="13"/>
                <w:color w:val="0000EE"/>
              </w:rPr>
              <w:t>DESCRIPTION OF DEPOSITARY SHARES</w:t>
            </w:r>
          </w:p>
        </w:tc>
        <w:tc>
          <w:tcPr>
            <w:tcW w:w="3940" w:type="dxa"/>
            <w:vAlign w:val="bottom"/>
            <w:gridSpan w:val="5"/>
          </w:tcPr>
          <w:p>
            <w:pPr>
              <w:spacing w:after="0"/>
              <w:rPr>
                <w:sz w:val="16"/>
                <w:szCs w:val="16"/>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w:t>
            </w:r>
          </w:p>
        </w:tc>
      </w:tr>
      <w:tr>
        <w:trPr>
          <w:trHeight w:val="192"/>
        </w:trPr>
        <w:tc>
          <w:tcPr>
            <w:tcW w:w="6420" w:type="dxa"/>
            <w:vAlign w:val="bottom"/>
            <w:gridSpan w:val="15"/>
          </w:tcPr>
          <w:p>
            <w:pPr>
              <w:spacing w:after="0"/>
              <w:rPr>
                <w:sz w:val="20"/>
                <w:szCs w:val="20"/>
                <w:color w:val="auto"/>
              </w:rPr>
            </w:pPr>
            <w:r>
              <w:rPr>
                <w:rFonts w:ascii="Times New Roman" w:cs="Times New Roman" w:eastAsia="Times New Roman" w:hAnsi="Times New Roman"/>
                <w:sz w:val="13"/>
                <w:szCs w:val="13"/>
                <w:color w:val="0000EE"/>
              </w:rPr>
              <w:t>DESCRIPTION OF WARRANTS</w:t>
            </w:r>
          </w:p>
        </w:tc>
        <w:tc>
          <w:tcPr>
            <w:tcW w:w="1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w:t>
            </w:r>
          </w:p>
        </w:tc>
      </w:tr>
      <w:tr>
        <w:trPr>
          <w:trHeight w:val="20"/>
        </w:trPr>
        <w:tc>
          <w:tcPr>
            <w:tcW w:w="56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440" w:type="dxa"/>
            <w:vAlign w:val="bottom"/>
            <w:tcBorders>
              <w:right w:val="single" w:sz="8" w:color="0000EE"/>
            </w:tcBorders>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192"/>
        </w:trPr>
        <w:tc>
          <w:tcPr>
            <w:tcW w:w="258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3"/>
                <w:szCs w:val="13"/>
                <w:color w:val="0000EE"/>
              </w:rPr>
              <w:t>DESCRIPTION OF SUBSCRIPTION RIGHTS</w:t>
            </w:r>
          </w:p>
        </w:tc>
        <w:tc>
          <w:tcPr>
            <w:tcW w:w="3840" w:type="dxa"/>
            <w:vAlign w:val="bottom"/>
            <w:gridSpan w:val="4"/>
          </w:tcPr>
          <w:p>
            <w:pPr>
              <w:spacing w:after="0"/>
              <w:rPr>
                <w:sz w:val="16"/>
                <w:szCs w:val="16"/>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w:t>
            </w:r>
          </w:p>
        </w:tc>
      </w:tr>
      <w:tr>
        <w:trPr>
          <w:trHeight w:val="192"/>
        </w:trPr>
        <w:tc>
          <w:tcPr>
            <w:tcW w:w="152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3"/>
                <w:szCs w:val="13"/>
                <w:color w:val="0000EE"/>
              </w:rPr>
              <w:t>DESCRIPTION OF UNITS</w:t>
            </w:r>
          </w:p>
        </w:tc>
        <w:tc>
          <w:tcPr>
            <w:tcW w:w="4900" w:type="dxa"/>
            <w:vAlign w:val="bottom"/>
            <w:gridSpan w:val="10"/>
          </w:tcPr>
          <w:p>
            <w:pPr>
              <w:spacing w:after="0"/>
              <w:rPr>
                <w:sz w:val="16"/>
                <w:szCs w:val="16"/>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w:t>
            </w:r>
          </w:p>
        </w:tc>
      </w:tr>
      <w:tr>
        <w:trPr>
          <w:trHeight w:val="192"/>
        </w:trPr>
        <w:tc>
          <w:tcPr>
            <w:tcW w:w="108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3"/>
                <w:szCs w:val="13"/>
                <w:color w:val="0000EE"/>
                <w:w w:val="99"/>
              </w:rPr>
              <w:t>LEGAL MATTERS</w:t>
            </w:r>
          </w:p>
        </w:tc>
        <w:tc>
          <w:tcPr>
            <w:tcW w:w="5340" w:type="dxa"/>
            <w:vAlign w:val="bottom"/>
            <w:gridSpan w:val="12"/>
          </w:tcPr>
          <w:p>
            <w:pPr>
              <w:spacing w:after="0"/>
              <w:rPr>
                <w:sz w:val="16"/>
                <w:szCs w:val="16"/>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w:t>
            </w:r>
          </w:p>
        </w:tc>
      </w:tr>
      <w:tr>
        <w:trPr>
          <w:trHeight w:val="192"/>
        </w:trPr>
        <w:tc>
          <w:tcPr>
            <w:tcW w:w="6420" w:type="dxa"/>
            <w:vAlign w:val="bottom"/>
            <w:gridSpan w:val="15"/>
          </w:tcPr>
          <w:p>
            <w:pPr>
              <w:spacing w:after="0"/>
              <w:rPr>
                <w:sz w:val="20"/>
                <w:szCs w:val="20"/>
                <w:color w:val="auto"/>
              </w:rPr>
            </w:pPr>
            <w:r>
              <w:rPr>
                <w:rFonts w:ascii="Times New Roman" w:cs="Times New Roman" w:eastAsia="Times New Roman" w:hAnsi="Times New Roman"/>
                <w:sz w:val="13"/>
                <w:szCs w:val="13"/>
                <w:color w:val="0000EE"/>
              </w:rPr>
              <w:t>EXPERTS</w:t>
            </w:r>
          </w:p>
        </w:tc>
        <w:tc>
          <w:tcPr>
            <w:tcW w:w="1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w:t>
            </w:r>
          </w:p>
        </w:tc>
      </w:tr>
      <w:tr>
        <w:trPr>
          <w:trHeight w:val="20"/>
        </w:trPr>
        <w:tc>
          <w:tcPr>
            <w:tcW w:w="560" w:type="dxa"/>
            <w:vAlign w:val="bottom"/>
            <w:shd w:val="clear" w:color="auto" w:fill="0000EE"/>
          </w:tcPr>
          <w:p>
            <w:pPr>
              <w:spacing w:after="0" w:line="20" w:lineRule="exact"/>
              <w:rPr>
                <w:sz w:val="1"/>
                <w:szCs w:val="1"/>
                <w:color w:val="auto"/>
              </w:rPr>
            </w:pPr>
          </w:p>
        </w:tc>
        <w:tc>
          <w:tcPr>
            <w:tcW w:w="2280" w:type="dxa"/>
            <w:vAlign w:val="bottom"/>
            <w:gridSpan w:val="11"/>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192"/>
        </w:trPr>
        <w:tc>
          <w:tcPr>
            <w:tcW w:w="284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3"/>
                <w:szCs w:val="13"/>
                <w:color w:val="0000EE"/>
              </w:rPr>
              <w:t>WHERE YOU CAN FIND MORE INFORMATION</w:t>
            </w:r>
          </w:p>
        </w:tc>
        <w:tc>
          <w:tcPr>
            <w:tcW w:w="3580" w:type="dxa"/>
            <w:vAlign w:val="bottom"/>
            <w:gridSpan w:val="3"/>
          </w:tcPr>
          <w:p>
            <w:pPr>
              <w:spacing w:after="0"/>
              <w:rPr>
                <w:sz w:val="16"/>
                <w:szCs w:val="16"/>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w:t>
            </w:r>
          </w:p>
        </w:tc>
      </w:tr>
      <w:tr>
        <w:trPr>
          <w:trHeight w:val="192"/>
        </w:trPr>
        <w:tc>
          <w:tcPr>
            <w:tcW w:w="386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3"/>
                <w:szCs w:val="13"/>
                <w:color w:val="0000EE"/>
              </w:rPr>
              <w:t>INCORPORATION OF CERTAIN INFORMATION BY REFERENCE</w:t>
            </w:r>
          </w:p>
        </w:tc>
        <w:tc>
          <w:tcPr>
            <w:tcW w:w="2560" w:type="dxa"/>
            <w:vAlign w:val="bottom"/>
            <w:gridSpan w:val="2"/>
          </w:tcPr>
          <w:p>
            <w:pPr>
              <w:spacing w:after="0"/>
              <w:rPr>
                <w:sz w:val="16"/>
                <w:szCs w:val="16"/>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3033395</wp:posOffset>
            </wp:positionH>
            <wp:positionV relativeFrom="paragraph">
              <wp:posOffset>179070</wp:posOffset>
            </wp:positionV>
            <wp:extent cx="1100455" cy="63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100455" cy="635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540" w:right="459" w:firstLine="329"/>
        <w:spacing w:after="0" w:line="266" w:lineRule="auto"/>
        <w:rPr>
          <w:sz w:val="20"/>
          <w:szCs w:val="20"/>
          <w:color w:val="auto"/>
        </w:rPr>
      </w:pPr>
      <w:r>
        <w:rPr>
          <w:rFonts w:ascii="Times New Roman" w:cs="Times New Roman" w:eastAsia="Times New Roman" w:hAnsi="Times New Roman"/>
          <w:sz w:val="13"/>
          <w:szCs w:val="13"/>
          <w:color w:val="auto"/>
        </w:rPr>
        <w:t>The Company has not authorized anyone to provide any information or to make any representations other than those contained or incorporated by reference in this prospectus, any accompanying prospectus supplement or any free writing prospectus the Company has prepared. The Company takes no responsibility for, and can provide no assurance as to the reliability of, any other information that others may give you. This prospectus is an offer to sell only the securities offered hereby and only under circumstances and in jurisdictions where it is lawful to do so. The information contained or incorporated by reference in this prospectus is current only as of its date. Cibus’ business, financial condition, results of operations and prospects may have changed since such date.</w:t>
      </w:r>
    </w:p>
    <w:p>
      <w:pPr>
        <w:spacing w:after="0" w:line="8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1</w:t>
      </w:r>
    </w:p>
    <w:p>
      <w:pPr>
        <w:sectPr>
          <w:pgSz w:w="11900" w:h="16838" w:orient="portrait"/>
          <w:cols w:equalWidth="0" w:num="1">
            <w:col w:w="10159"/>
          </w:cols>
          <w:pgMar w:left="300" w:top="375" w:right="1440"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05345" cy="31750"/>
                    </a:xfrm>
                    <a:prstGeom prst="rect">
                      <a:avLst/>
                    </a:prstGeom>
                    <a:noFill/>
                  </pic:spPr>
                </pic:pic>
              </a:graphicData>
            </a:graphic>
          </wp:anchor>
        </w:drawing>
        <w:t>Table of Contents</w:t>
      </w:r>
    </w:p>
    <w:p>
      <w:pPr>
        <w:spacing w:after="0" w:line="24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ABOUT THIS PROSPECTUS</w:t>
      </w:r>
    </w:p>
    <w:p>
      <w:pPr>
        <w:spacing w:after="0" w:line="177" w:lineRule="exact"/>
        <w:rPr>
          <w:sz w:val="20"/>
          <w:szCs w:val="20"/>
          <w:color w:val="auto"/>
        </w:rPr>
      </w:pPr>
    </w:p>
    <w:p>
      <w:pPr>
        <w:ind w:left="1540" w:right="439" w:firstLine="329"/>
        <w:spacing w:after="0" w:line="268" w:lineRule="auto"/>
        <w:rPr>
          <w:sz w:val="20"/>
          <w:szCs w:val="20"/>
          <w:color w:val="auto"/>
        </w:rPr>
      </w:pPr>
      <w:r>
        <w:rPr>
          <w:rFonts w:ascii="Times New Roman" w:cs="Times New Roman" w:eastAsia="Times New Roman" w:hAnsi="Times New Roman"/>
          <w:sz w:val="13"/>
          <w:szCs w:val="13"/>
          <w:color w:val="auto"/>
        </w:rPr>
        <w:t>This prospectus is part of a registration statement on Form S-3 that the Company filed with the Securities and Exchange Commission (the “SEC”) using a “shelf” registration process. Under this shelf registration process, the Company may sell any combination of the securities described in this prospectus from time to time and in one or more offerings up to a total dollar amount of $200,000,000. This prospectus generally describes Cibus, Inc. and the Company’s securities, including the Company’s Class A Common Stock. The Company may use the shelf registration statement to sell the listed securities from time to time through any means described in the section entitled “Plan of Distribution.”</w:t>
      </w:r>
    </w:p>
    <w:p>
      <w:pPr>
        <w:spacing w:after="0" w:line="133" w:lineRule="exact"/>
        <w:rPr>
          <w:sz w:val="20"/>
          <w:szCs w:val="20"/>
          <w:color w:val="auto"/>
        </w:rPr>
      </w:pPr>
    </w:p>
    <w:p>
      <w:pPr>
        <w:ind w:left="1540" w:right="579" w:firstLine="329"/>
        <w:spacing w:after="0" w:line="268" w:lineRule="auto"/>
        <w:rPr>
          <w:sz w:val="20"/>
          <w:szCs w:val="20"/>
          <w:color w:val="auto"/>
        </w:rPr>
      </w:pPr>
      <w:r>
        <w:rPr>
          <w:rFonts w:ascii="Times New Roman" w:cs="Times New Roman" w:eastAsia="Times New Roman" w:hAnsi="Times New Roman"/>
          <w:sz w:val="13"/>
          <w:szCs w:val="13"/>
          <w:color w:val="auto"/>
        </w:rPr>
        <w:t>More specific terms of any securities the Company offers may be provided in a prospectus supplement that describes, among other things, the specific amounts and prices of the securities being offered, any specific allocation of the net proceeds of an offering of securities to a specific purpose and other terms of the offering. The prospectus supplement may also add, update or change information included in this prospectus. You should read both this prospectus and any applicable prospectus supplement, together with additional information described below under the captions “Where You Can Find More Information” and “Incorporation of Certain Information by Reference.”</w:t>
      </w:r>
    </w:p>
    <w:p>
      <w:pPr>
        <w:spacing w:after="0" w:line="133"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3"/>
          <w:szCs w:val="13"/>
          <w:color w:val="auto"/>
        </w:rPr>
        <w:t>No offer of securities will be made in any jurisdiction where the offer is not permitted.</w:t>
      </w:r>
    </w:p>
    <w:p>
      <w:pPr>
        <w:spacing w:after="0" w:line="1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1</w:t>
      </w:r>
    </w:p>
    <w:p>
      <w:pPr>
        <w:sectPr>
          <w:pgSz w:w="11900" w:h="16838" w:orient="portrait"/>
          <w:cols w:equalWidth="0" w:num="1">
            <w:col w:w="10159"/>
          </w:cols>
          <w:pgMar w:left="300" w:top="375" w:right="1440"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05345" cy="31750"/>
                    </a:xfrm>
                    <a:prstGeom prst="rect">
                      <a:avLst/>
                    </a:prstGeom>
                    <a:noFill/>
                  </pic:spPr>
                </pic:pic>
              </a:graphicData>
            </a:graphic>
          </wp:anchor>
        </w:drawing>
        <w:t>Table of Contents</w:t>
      </w:r>
    </w:p>
    <w:p>
      <w:pPr>
        <w:spacing w:after="0" w:line="244"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3"/>
          <w:szCs w:val="13"/>
          <w:b w:val="1"/>
          <w:bCs w:val="1"/>
          <w:color w:val="auto"/>
        </w:rPr>
        <w:t>CAUTIONARY NOTE REGARDING FORWARD-LOOKING STATEMENTS</w:t>
      </w:r>
    </w:p>
    <w:p>
      <w:pPr>
        <w:spacing w:after="0" w:line="177" w:lineRule="exact"/>
        <w:rPr>
          <w:sz w:val="20"/>
          <w:szCs w:val="20"/>
          <w:color w:val="auto"/>
        </w:rPr>
      </w:pPr>
    </w:p>
    <w:p>
      <w:pPr>
        <w:jc w:val="both"/>
        <w:ind w:left="1540" w:right="419" w:firstLine="329"/>
        <w:spacing w:after="0" w:line="278" w:lineRule="auto"/>
        <w:rPr>
          <w:sz w:val="20"/>
          <w:szCs w:val="20"/>
          <w:color w:val="auto"/>
        </w:rPr>
      </w:pPr>
      <w:r>
        <w:rPr>
          <w:rFonts w:ascii="Times New Roman" w:cs="Times New Roman" w:eastAsia="Times New Roman" w:hAnsi="Times New Roman"/>
          <w:sz w:val="13"/>
          <w:szCs w:val="13"/>
          <w:color w:val="auto"/>
        </w:rPr>
        <w:t>The information in this prospectus contains or incorporates by reference “forward-looking statements” within the meaning of the federal securities laws, including Section 27A of the Securities Act of 1933, as amended (the “Securities Act”), and the rules and regulations promulgated thereunder and Section 21E of the Securities Exchange Act of 1934, as amended (the “Exchange Act”), and the rules and regulations promulgated thereunder.</w:t>
      </w:r>
    </w:p>
    <w:p>
      <w:pPr>
        <w:spacing w:after="0" w:line="125" w:lineRule="exact"/>
        <w:rPr>
          <w:sz w:val="20"/>
          <w:szCs w:val="20"/>
          <w:color w:val="auto"/>
        </w:rPr>
      </w:pPr>
    </w:p>
    <w:p>
      <w:pPr>
        <w:ind w:left="1540" w:right="419" w:firstLine="329"/>
        <w:spacing w:after="0" w:line="265" w:lineRule="auto"/>
        <w:rPr>
          <w:sz w:val="20"/>
          <w:szCs w:val="20"/>
          <w:color w:val="auto"/>
        </w:rPr>
      </w:pPr>
      <w:r>
        <w:rPr>
          <w:rFonts w:ascii="Times New Roman" w:cs="Times New Roman" w:eastAsia="Times New Roman" w:hAnsi="Times New Roman"/>
          <w:sz w:val="13"/>
          <w:szCs w:val="13"/>
          <w:color w:val="auto"/>
        </w:rPr>
        <w:t>The Company has made these forward-looking statements in reliance on the safe harbor provisions of the United States Private Securities Litigation Reform Act of 1995. Although the Company believes the expectations reflected in the forward-looking statements are reasonable, it cannot guarantee future results, level of activity, performance or achievements. In some cases, you can identify these statements by forward-looking words such as “anticipates,” “believes,” “continue,” “could,” “estimates,” “expects,” “intends,” “may,” “might,” “plans,” “predicts,” “projects,” “scheduled,” “should,” “targets,” “will,” “would,” or the negative of these terms and other similar terminology. Any statements contained herein that are not statements of historical fact may be deemed to be forward-looking statements. These forward-looking statements are predictions and trends based on the Company’s current expectations, objectives and intentions and are premised on current assumptions.</w:t>
      </w:r>
    </w:p>
    <w:p>
      <w:pPr>
        <w:spacing w:after="0" w:line="135" w:lineRule="exact"/>
        <w:rPr>
          <w:sz w:val="20"/>
          <w:szCs w:val="20"/>
          <w:color w:val="auto"/>
        </w:rPr>
      </w:pPr>
    </w:p>
    <w:p>
      <w:pPr>
        <w:ind w:left="1540" w:right="759" w:firstLine="329"/>
        <w:spacing w:after="0" w:line="297" w:lineRule="auto"/>
        <w:rPr>
          <w:sz w:val="20"/>
          <w:szCs w:val="20"/>
          <w:color w:val="auto"/>
        </w:rPr>
      </w:pPr>
      <w:r>
        <w:rPr>
          <w:rFonts w:ascii="Times New Roman" w:cs="Times New Roman" w:eastAsia="Times New Roman" w:hAnsi="Times New Roman"/>
          <w:sz w:val="13"/>
          <w:szCs w:val="13"/>
          <w:color w:val="auto"/>
        </w:rPr>
        <w:t>The Company’s actual results, level of activity, performance or achievements could be materially different from those expressed, implied, or anticipated by forward-looking statements due to a variety of factors, including, but not limited to:</w:t>
      </w:r>
    </w:p>
    <w:p>
      <w:pPr>
        <w:spacing w:after="0" w:line="43" w:lineRule="exact"/>
        <w:rPr>
          <w:sz w:val="20"/>
          <w:szCs w:val="20"/>
          <w:color w:val="auto"/>
        </w:rPr>
      </w:pPr>
    </w:p>
    <w:p>
      <w:pPr>
        <w:ind w:left="2260" w:right="559" w:hanging="325"/>
        <w:spacing w:after="0" w:line="297" w:lineRule="auto"/>
        <w:tabs>
          <w:tab w:leader="none" w:pos="226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Company’s need for additional near term funding to finance its activities and challenges in obtaining additional capital on acceptable terms, or at all;</w:t>
      </w:r>
    </w:p>
    <w:p>
      <w:pPr>
        <w:spacing w:after="0" w:line="43" w:lineRule="exact"/>
        <w:rPr>
          <w:rFonts w:ascii="Times New Roman" w:cs="Times New Roman" w:eastAsia="Times New Roman" w:hAnsi="Times New Roman"/>
          <w:sz w:val="13"/>
          <w:szCs w:val="13"/>
          <w:color w:val="auto"/>
        </w:rPr>
      </w:pPr>
    </w:p>
    <w:p>
      <w:pPr>
        <w:ind w:left="2260" w:hanging="325"/>
        <w:spacing w:after="0"/>
        <w:tabs>
          <w:tab w:leader="none" w:pos="226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changes in expected or existing competition;</w:t>
      </w:r>
    </w:p>
    <w:p>
      <w:pPr>
        <w:spacing w:after="0" w:line="102" w:lineRule="exact"/>
        <w:rPr>
          <w:rFonts w:ascii="Times New Roman" w:cs="Times New Roman" w:eastAsia="Times New Roman" w:hAnsi="Times New Roman"/>
          <w:sz w:val="13"/>
          <w:szCs w:val="13"/>
          <w:color w:val="auto"/>
        </w:rPr>
      </w:pPr>
    </w:p>
    <w:p>
      <w:pPr>
        <w:ind w:left="2260" w:hanging="325"/>
        <w:spacing w:after="0"/>
        <w:tabs>
          <w:tab w:leader="none" w:pos="226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challenges to the Company’s intellectual property protection and unexpected costs associated with defending intellectual property rights;</w:t>
      </w:r>
    </w:p>
    <w:p>
      <w:pPr>
        <w:spacing w:after="0" w:line="102" w:lineRule="exact"/>
        <w:rPr>
          <w:rFonts w:ascii="Times New Roman" w:cs="Times New Roman" w:eastAsia="Times New Roman" w:hAnsi="Times New Roman"/>
          <w:sz w:val="13"/>
          <w:szCs w:val="13"/>
          <w:color w:val="auto"/>
        </w:rPr>
      </w:pPr>
    </w:p>
    <w:p>
      <w:pPr>
        <w:ind w:left="2260" w:right="659" w:hanging="325"/>
        <w:spacing w:after="0" w:line="297" w:lineRule="auto"/>
        <w:tabs>
          <w:tab w:leader="none" w:pos="226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increased or unanticipated time and resources required for the Company’s development efforts for its priority opportunities in Rice and biofragrance products and sustainable ingredients;</w:t>
      </w:r>
    </w:p>
    <w:p>
      <w:pPr>
        <w:spacing w:after="0" w:line="43" w:lineRule="exact"/>
        <w:rPr>
          <w:rFonts w:ascii="Times New Roman" w:cs="Times New Roman" w:eastAsia="Times New Roman" w:hAnsi="Times New Roman"/>
          <w:sz w:val="13"/>
          <w:szCs w:val="13"/>
          <w:color w:val="auto"/>
        </w:rPr>
      </w:pPr>
    </w:p>
    <w:p>
      <w:pPr>
        <w:ind w:left="2260" w:hanging="325"/>
        <w:spacing w:after="0"/>
        <w:tabs>
          <w:tab w:leader="none" w:pos="226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Company’s reliance on third parties in connection with its development activities and for commercialization;</w:t>
      </w:r>
    </w:p>
    <w:p>
      <w:pPr>
        <w:spacing w:after="0" w:line="102" w:lineRule="exact"/>
        <w:rPr>
          <w:rFonts w:ascii="Times New Roman" w:cs="Times New Roman" w:eastAsia="Times New Roman" w:hAnsi="Times New Roman"/>
          <w:sz w:val="13"/>
          <w:szCs w:val="13"/>
          <w:color w:val="auto"/>
        </w:rPr>
      </w:pPr>
    </w:p>
    <w:p>
      <w:pPr>
        <w:ind w:left="2260" w:hanging="325"/>
        <w:spacing w:after="0"/>
        <w:tabs>
          <w:tab w:leader="none" w:pos="226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challenges associated with the Company’s ability to effectively license its productivity traits and sustainable ingredient products;</w:t>
      </w:r>
    </w:p>
    <w:p>
      <w:pPr>
        <w:spacing w:after="0" w:line="102" w:lineRule="exact"/>
        <w:rPr>
          <w:rFonts w:ascii="Times New Roman" w:cs="Times New Roman" w:eastAsia="Times New Roman" w:hAnsi="Times New Roman"/>
          <w:sz w:val="13"/>
          <w:szCs w:val="13"/>
          <w:color w:val="auto"/>
        </w:rPr>
      </w:pPr>
    </w:p>
    <w:p>
      <w:pPr>
        <w:ind w:left="2260" w:right="539" w:hanging="325"/>
        <w:spacing w:after="0" w:line="297" w:lineRule="auto"/>
        <w:tabs>
          <w:tab w:leader="none" w:pos="226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risk that farmers do not recognize the value in germplasm containing the Company’s traits or that farmers and processors fail to work effectively with crops containing the Company’s traits;</w:t>
      </w:r>
    </w:p>
    <w:p>
      <w:pPr>
        <w:spacing w:after="0" w:line="43" w:lineRule="exact"/>
        <w:rPr>
          <w:rFonts w:ascii="Times New Roman" w:cs="Times New Roman" w:eastAsia="Times New Roman" w:hAnsi="Times New Roman"/>
          <w:sz w:val="13"/>
          <w:szCs w:val="13"/>
          <w:color w:val="auto"/>
        </w:rPr>
      </w:pPr>
    </w:p>
    <w:p>
      <w:pPr>
        <w:ind w:left="2260" w:hanging="325"/>
        <w:spacing w:after="0"/>
        <w:tabs>
          <w:tab w:leader="none" w:pos="226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delays or disruptions in the Company’s platform or trait product development efforts;</w:t>
      </w:r>
    </w:p>
    <w:p>
      <w:pPr>
        <w:spacing w:after="0" w:line="102" w:lineRule="exact"/>
        <w:rPr>
          <w:rFonts w:ascii="Times New Roman" w:cs="Times New Roman" w:eastAsia="Times New Roman" w:hAnsi="Times New Roman"/>
          <w:sz w:val="13"/>
          <w:szCs w:val="13"/>
          <w:color w:val="auto"/>
        </w:rPr>
      </w:pPr>
    </w:p>
    <w:p>
      <w:pPr>
        <w:ind w:left="2260" w:hanging="325"/>
        <w:spacing w:after="0"/>
        <w:tabs>
          <w:tab w:leader="none" w:pos="226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inability to identify partners to fund the Company’s non-Rice productivity trait portfolio;</w:t>
      </w:r>
    </w:p>
    <w:p>
      <w:pPr>
        <w:spacing w:after="0" w:line="102" w:lineRule="exact"/>
        <w:rPr>
          <w:rFonts w:ascii="Times New Roman" w:cs="Times New Roman" w:eastAsia="Times New Roman" w:hAnsi="Times New Roman"/>
          <w:sz w:val="13"/>
          <w:szCs w:val="13"/>
          <w:color w:val="auto"/>
        </w:rPr>
      </w:pPr>
    </w:p>
    <w:p>
      <w:pPr>
        <w:ind w:left="2260" w:hanging="325"/>
        <w:spacing w:after="0"/>
        <w:tabs>
          <w:tab w:leader="none" w:pos="226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challenges that arise in respect of the Company’s production of high-quality plants and seeds cost effectively on a large scale;</w:t>
      </w:r>
    </w:p>
    <w:p>
      <w:pPr>
        <w:spacing w:after="0" w:line="102" w:lineRule="exact"/>
        <w:rPr>
          <w:rFonts w:ascii="Times New Roman" w:cs="Times New Roman" w:eastAsia="Times New Roman" w:hAnsi="Times New Roman"/>
          <w:sz w:val="13"/>
          <w:szCs w:val="13"/>
          <w:color w:val="auto"/>
        </w:rPr>
      </w:pPr>
    </w:p>
    <w:p>
      <w:pPr>
        <w:ind w:left="2260" w:right="539" w:hanging="325"/>
        <w:spacing w:after="0" w:line="297" w:lineRule="auto"/>
        <w:tabs>
          <w:tab w:leader="none" w:pos="226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Company’s dependence on distributions from Cibus Global, LLC (“Cibus Global”) to pay taxes and cover its corporate and overhead expenses;</w:t>
      </w:r>
    </w:p>
    <w:p>
      <w:pPr>
        <w:spacing w:after="0" w:line="43" w:lineRule="exact"/>
        <w:rPr>
          <w:rFonts w:ascii="Times New Roman" w:cs="Times New Roman" w:eastAsia="Times New Roman" w:hAnsi="Times New Roman"/>
          <w:sz w:val="13"/>
          <w:szCs w:val="13"/>
          <w:color w:val="auto"/>
        </w:rPr>
      </w:pPr>
    </w:p>
    <w:p>
      <w:pPr>
        <w:ind w:left="2260" w:hanging="325"/>
        <w:spacing w:after="0"/>
        <w:tabs>
          <w:tab w:leader="none" w:pos="226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regulatory developments that disfavor or impose significant burdens on gene editing processes or products;</w:t>
      </w:r>
    </w:p>
    <w:p>
      <w:pPr>
        <w:spacing w:after="0" w:line="102" w:lineRule="exact"/>
        <w:rPr>
          <w:rFonts w:ascii="Times New Roman" w:cs="Times New Roman" w:eastAsia="Times New Roman" w:hAnsi="Times New Roman"/>
          <w:sz w:val="13"/>
          <w:szCs w:val="13"/>
          <w:color w:val="auto"/>
        </w:rPr>
      </w:pPr>
    </w:p>
    <w:p>
      <w:pPr>
        <w:ind w:left="2260" w:hanging="325"/>
        <w:spacing w:after="0"/>
        <w:tabs>
          <w:tab w:leader="none" w:pos="226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delays and uncertainties regarding regulatory developments in the European Union;</w:t>
      </w:r>
    </w:p>
    <w:p>
      <w:pPr>
        <w:spacing w:after="0" w:line="102" w:lineRule="exact"/>
        <w:rPr>
          <w:rFonts w:ascii="Times New Roman" w:cs="Times New Roman" w:eastAsia="Times New Roman" w:hAnsi="Times New Roman"/>
          <w:sz w:val="13"/>
          <w:szCs w:val="13"/>
          <w:color w:val="auto"/>
        </w:rPr>
      </w:pPr>
    </w:p>
    <w:p>
      <w:pPr>
        <w:ind w:left="2260" w:hanging="325"/>
        <w:spacing w:after="0"/>
        <w:tabs>
          <w:tab w:leader="none" w:pos="226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Company’s ability to achieve commercial success;</w:t>
      </w:r>
    </w:p>
    <w:p>
      <w:pPr>
        <w:spacing w:after="0" w:line="102" w:lineRule="exact"/>
        <w:rPr>
          <w:rFonts w:ascii="Times New Roman" w:cs="Times New Roman" w:eastAsia="Times New Roman" w:hAnsi="Times New Roman"/>
          <w:sz w:val="13"/>
          <w:szCs w:val="13"/>
          <w:color w:val="auto"/>
        </w:rPr>
      </w:pPr>
    </w:p>
    <w:p>
      <w:pPr>
        <w:ind w:left="2260" w:hanging="325"/>
        <w:spacing w:after="0"/>
        <w:tabs>
          <w:tab w:leader="none" w:pos="226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commodity prices and other market risks facing the agricultural sector;</w:t>
      </w:r>
    </w:p>
    <w:p>
      <w:pPr>
        <w:spacing w:after="0" w:line="1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2</w:t>
      </w:r>
    </w:p>
    <w:p>
      <w:pPr>
        <w:sectPr>
          <w:pgSz w:w="11900" w:h="16838" w:orient="portrait"/>
          <w:cols w:equalWidth="0" w:num="1">
            <w:col w:w="10159"/>
          </w:cols>
          <w:pgMar w:left="300" w:top="375" w:right="1440"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05345" cy="31750"/>
                    </a:xfrm>
                    <a:prstGeom prst="rect">
                      <a:avLst/>
                    </a:prstGeom>
                    <a:noFill/>
                  </pic:spPr>
                </pic:pic>
              </a:graphicData>
            </a:graphic>
          </wp:anchor>
        </w:drawing>
        <w:t>Table of Contents</w:t>
      </w:r>
    </w:p>
    <w:p>
      <w:pPr>
        <w:spacing w:after="0" w:line="248" w:lineRule="exact"/>
        <w:rPr>
          <w:sz w:val="20"/>
          <w:szCs w:val="20"/>
          <w:color w:val="auto"/>
        </w:rPr>
      </w:pPr>
    </w:p>
    <w:p>
      <w:pPr>
        <w:ind w:left="2260" w:hanging="325"/>
        <w:spacing w:after="0"/>
        <w:tabs>
          <w:tab w:leader="none" w:pos="226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technological developments that could render the Company’s technologies obsolete;</w:t>
      </w:r>
    </w:p>
    <w:p>
      <w:pPr>
        <w:spacing w:after="0" w:line="102" w:lineRule="exact"/>
        <w:rPr>
          <w:rFonts w:ascii="Times New Roman" w:cs="Times New Roman" w:eastAsia="Times New Roman" w:hAnsi="Times New Roman"/>
          <w:sz w:val="13"/>
          <w:szCs w:val="13"/>
          <w:color w:val="auto"/>
        </w:rPr>
      </w:pPr>
    </w:p>
    <w:p>
      <w:pPr>
        <w:ind w:left="2260" w:right="1019" w:hanging="325"/>
        <w:spacing w:after="0" w:line="297" w:lineRule="auto"/>
        <w:tabs>
          <w:tab w:leader="none" w:pos="226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impacts of the Company’s headcount reductions and other cost reduction measures, which may include operational and strategic challenges, and the potential for additional cost reduction measures;</w:t>
      </w:r>
    </w:p>
    <w:p>
      <w:pPr>
        <w:spacing w:after="0" w:line="43" w:lineRule="exact"/>
        <w:rPr>
          <w:rFonts w:ascii="Times New Roman" w:cs="Times New Roman" w:eastAsia="Times New Roman" w:hAnsi="Times New Roman"/>
          <w:sz w:val="13"/>
          <w:szCs w:val="13"/>
          <w:color w:val="auto"/>
        </w:rPr>
      </w:pPr>
    </w:p>
    <w:p>
      <w:pPr>
        <w:ind w:left="2260" w:right="419" w:hanging="325"/>
        <w:spacing w:after="0" w:line="297" w:lineRule="auto"/>
        <w:tabs>
          <w:tab w:leader="none" w:pos="226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changes in macroeconomic and market conditions, including inflation, supply chain constraints, and rising interest rates, and economic volatility and uncertainty arising from dynamic trade policies, including tariffs and retaliatory tariffs, and market reactions to such policies;</w:t>
      </w:r>
    </w:p>
    <w:p>
      <w:pPr>
        <w:spacing w:after="0" w:line="43" w:lineRule="exact"/>
        <w:rPr>
          <w:rFonts w:ascii="Times New Roman" w:cs="Times New Roman" w:eastAsia="Times New Roman" w:hAnsi="Times New Roman"/>
          <w:sz w:val="13"/>
          <w:szCs w:val="13"/>
          <w:color w:val="auto"/>
        </w:rPr>
      </w:pPr>
    </w:p>
    <w:p>
      <w:pPr>
        <w:ind w:left="2260" w:right="719" w:hanging="325"/>
        <w:spacing w:after="0" w:line="297" w:lineRule="auto"/>
        <w:tabs>
          <w:tab w:leader="none" w:pos="226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dislocations in the capital markets and challenges in accessing liquidity and the impact of such liquidity challenges on the Company’s ability to execute on its business plan;</w:t>
      </w:r>
    </w:p>
    <w:p>
      <w:pPr>
        <w:spacing w:after="0" w:line="43" w:lineRule="exact"/>
        <w:rPr>
          <w:rFonts w:ascii="Times New Roman" w:cs="Times New Roman" w:eastAsia="Times New Roman" w:hAnsi="Times New Roman"/>
          <w:sz w:val="13"/>
          <w:szCs w:val="13"/>
          <w:color w:val="auto"/>
        </w:rPr>
      </w:pPr>
    </w:p>
    <w:p>
      <w:pPr>
        <w:ind w:left="2260" w:hanging="325"/>
        <w:spacing w:after="0"/>
        <w:tabs>
          <w:tab w:leader="none" w:pos="226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Company’s assessment of the period of time through which its financial resources will be adequate to support operations; and</w:t>
      </w:r>
    </w:p>
    <w:p>
      <w:pPr>
        <w:spacing w:after="0" w:line="102" w:lineRule="exact"/>
        <w:rPr>
          <w:rFonts w:ascii="Times New Roman" w:cs="Times New Roman" w:eastAsia="Times New Roman" w:hAnsi="Times New Roman"/>
          <w:sz w:val="13"/>
          <w:szCs w:val="13"/>
          <w:color w:val="auto"/>
        </w:rPr>
      </w:pPr>
    </w:p>
    <w:p>
      <w:pPr>
        <w:ind w:left="2260" w:right="419" w:hanging="325"/>
        <w:spacing w:after="0" w:line="278" w:lineRule="auto"/>
        <w:tabs>
          <w:tab w:leader="none" w:pos="226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other important risks and uncertainties described in “Item 1A. Risk Factors” in the Company’s Annual Report on Form 10-K, which was filed with the SEC on March 17, 2026, as they may be updated or supplemented from time-to-time in the Company’s subsequent reports on Forms 10-Q and 8-K filed with the SEC.</w:t>
      </w:r>
    </w:p>
    <w:p>
      <w:pPr>
        <w:spacing w:after="0" w:line="125" w:lineRule="exact"/>
        <w:rPr>
          <w:sz w:val="20"/>
          <w:szCs w:val="20"/>
          <w:color w:val="auto"/>
        </w:rPr>
      </w:pPr>
    </w:p>
    <w:p>
      <w:pPr>
        <w:ind w:left="1540" w:right="479" w:firstLine="329"/>
        <w:spacing w:after="0" w:line="266" w:lineRule="auto"/>
        <w:rPr>
          <w:sz w:val="20"/>
          <w:szCs w:val="20"/>
          <w:color w:val="auto"/>
        </w:rPr>
      </w:pPr>
      <w:r>
        <w:rPr>
          <w:rFonts w:ascii="Times New Roman" w:cs="Times New Roman" w:eastAsia="Times New Roman" w:hAnsi="Times New Roman"/>
          <w:sz w:val="13"/>
          <w:szCs w:val="13"/>
          <w:color w:val="auto"/>
        </w:rPr>
        <w:t>While the list of factors presented here is considered representative, no such list should be considered to be a complete statement of all potential risks and uncertainties. Unlisted factors may present significant additional obstacles to the realization of forward-looking statements. Consequences of material differences in results as compared with those anticipated in the forward-looking statements could include, among other things, business disruption, operational problems, financial loss, legal liability to third parties and similar risks, any of which could have a material adverse effect on the Company’s consolidated financial condition, results of operations or liquidity. Therefore, you should not place undue reliance on any of these forward-looking statements.</w:t>
      </w:r>
    </w:p>
    <w:p>
      <w:pPr>
        <w:spacing w:after="0" w:line="135" w:lineRule="exact"/>
        <w:rPr>
          <w:sz w:val="20"/>
          <w:szCs w:val="20"/>
          <w:color w:val="auto"/>
        </w:rPr>
      </w:pPr>
    </w:p>
    <w:p>
      <w:pPr>
        <w:ind w:left="1540" w:right="659" w:firstLine="329"/>
        <w:spacing w:after="0" w:line="271" w:lineRule="auto"/>
        <w:rPr>
          <w:sz w:val="20"/>
          <w:szCs w:val="20"/>
          <w:color w:val="auto"/>
        </w:rPr>
      </w:pPr>
      <w:r>
        <w:rPr>
          <w:rFonts w:ascii="Times New Roman" w:cs="Times New Roman" w:eastAsia="Times New Roman" w:hAnsi="Times New Roman"/>
          <w:sz w:val="13"/>
          <w:szCs w:val="13"/>
          <w:color w:val="auto"/>
        </w:rPr>
        <w:t>Any forward-looking statement made by the Company in this prospectus is based only on information currently available to the Company and speaks only as of the date hereof. The Company does not assume any obligation to publicly provide revisions or updates to any forward-looking statements after the date of this prospectus, whether as a result of new information, future developments or otherwise, should circumstances change, except as otherwise required by securities and other applicable laws.</w:t>
      </w:r>
    </w:p>
    <w:p>
      <w:pPr>
        <w:spacing w:after="0" w:line="8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3</w:t>
      </w:r>
    </w:p>
    <w:p>
      <w:pPr>
        <w:sectPr>
          <w:pgSz w:w="11900" w:h="16838" w:orient="portrait"/>
          <w:cols w:equalWidth="0" w:num="1">
            <w:col w:w="10159"/>
          </w:cols>
          <w:pgMar w:left="300" w:top="375" w:right="1440"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05345" cy="31750"/>
                    </a:xfrm>
                    <a:prstGeom prst="rect">
                      <a:avLst/>
                    </a:prstGeom>
                    <a:noFill/>
                  </pic:spPr>
                </pic:pic>
              </a:graphicData>
            </a:graphic>
          </wp:anchor>
        </w:drawing>
        <w:t>Table of Contents</w:t>
      </w:r>
    </w:p>
    <w:p>
      <w:pPr>
        <w:spacing w:after="0" w:line="244"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3"/>
          <w:szCs w:val="13"/>
          <w:b w:val="1"/>
          <w:bCs w:val="1"/>
          <w:color w:val="auto"/>
        </w:rPr>
        <w:t>INFORMATION ABOUT THE COMPANY</w:t>
      </w:r>
    </w:p>
    <w:p>
      <w:pPr>
        <w:spacing w:after="0" w:line="173"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3"/>
          <w:szCs w:val="13"/>
          <w:b w:val="1"/>
          <w:bCs w:val="1"/>
          <w:color w:val="auto"/>
        </w:rPr>
        <w:t>Company Overview</w:t>
      </w:r>
    </w:p>
    <w:p>
      <w:pPr>
        <w:spacing w:after="0" w:line="96" w:lineRule="exact"/>
        <w:rPr>
          <w:sz w:val="20"/>
          <w:szCs w:val="20"/>
          <w:color w:val="auto"/>
        </w:rPr>
      </w:pPr>
    </w:p>
    <w:p>
      <w:pPr>
        <w:ind w:left="1540" w:right="499" w:firstLine="329"/>
        <w:spacing w:after="0" w:line="243" w:lineRule="auto"/>
        <w:rPr>
          <w:sz w:val="20"/>
          <w:szCs w:val="20"/>
          <w:color w:val="auto"/>
        </w:rPr>
      </w:pPr>
      <w:r>
        <w:rPr>
          <w:rFonts w:ascii="Times New Roman" w:cs="Times New Roman" w:eastAsia="Times New Roman" w:hAnsi="Times New Roman"/>
          <w:sz w:val="13"/>
          <w:szCs w:val="13"/>
          <w:color w:val="auto"/>
        </w:rPr>
        <w:t>Cibus is a leading agricultural biotechnology company that primarily uses proprietary gene editing technologies to develop plant traits, which are specific genetic characteristics in the DNA of a plant’s seed. Plant traits, or characteristics, influence how a resulting plant functions and/or interacts with its environment. The Company produces these edited plant traits by a unique process that is endeavoring to change the scale and speed of plant breeding for many major agricultural crops. Over the course of its history, Cibus has developed a proprietary time bound and predictable gene editing platform referred to as the Rapid Trait Development System</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i w:val="1"/>
          <w:iCs w:val="1"/>
          <w:color w:val="auto"/>
        </w:rPr>
        <w:t>RTDS</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3"/>
          <w:szCs w:val="13"/>
          <w:color w:val="auto"/>
        </w:rPr>
        <w:t>”). This system allows the Company to edit gene targets that are the basis of novel traits that can be integrated into its customers’ best or elite seed genetics in as little as one year. The Company’s primary trait business opportunities continue to broaden as key jurisdictions around the world more closely align gene editing regulatory policies with those already in place for conventional breeding.</w:t>
      </w:r>
    </w:p>
    <w:p>
      <w:pPr>
        <w:spacing w:after="0" w:line="310" w:lineRule="exact"/>
        <w:rPr>
          <w:sz w:val="20"/>
          <w:szCs w:val="20"/>
          <w:color w:val="auto"/>
        </w:rPr>
      </w:pPr>
    </w:p>
    <w:p>
      <w:pPr>
        <w:ind w:left="1540" w:right="519" w:firstLine="329"/>
        <w:spacing w:after="0" w:line="266" w:lineRule="auto"/>
        <w:rPr>
          <w:sz w:val="20"/>
          <w:szCs w:val="20"/>
          <w:color w:val="auto"/>
        </w:rPr>
      </w:pPr>
      <w:r>
        <w:rPr>
          <w:rFonts w:ascii="Times New Roman" w:cs="Times New Roman" w:eastAsia="Times New Roman" w:hAnsi="Times New Roman"/>
          <w:sz w:val="13"/>
          <w:szCs w:val="13"/>
          <w:color w:val="auto"/>
        </w:rPr>
        <w:t>In the near term, Cibus’ priority pipeline program centers on Rice herbicide tolerance (HT) traits. Alongside its Rice program, Cibus also continues to advance its sustainable ingredients program, including lauric oils and bio fragrance products, the development of which is currently partially partner-funded and/or supported by a consumer-packaged goods partner. Management estimates that Cibus’ bio-fragrance business has a peak annual revenue potential of approximately $20-40 million, within a global bio-fragrance industry that has the potential to grow to become an approximately $75 billion market by 2030. The Company retains the rights to the remainder of its productivity trait portfolio and will opportunistically pursue partner-funded projects in such traits until such time as the Company’s capital resources are sufficient to efficiently support a more robust development effort.</w:t>
      </w:r>
    </w:p>
    <w:p>
      <w:pPr>
        <w:spacing w:after="0" w:line="372"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3"/>
          <w:szCs w:val="13"/>
          <w:b w:val="1"/>
          <w:bCs w:val="1"/>
          <w:color w:val="auto"/>
        </w:rPr>
        <w:t>Corporate Structure</w:t>
      </w:r>
    </w:p>
    <w:p>
      <w:pPr>
        <w:spacing w:after="0" w:line="96" w:lineRule="exact"/>
        <w:rPr>
          <w:sz w:val="20"/>
          <w:szCs w:val="20"/>
          <w:color w:val="auto"/>
        </w:rPr>
      </w:pPr>
    </w:p>
    <w:p>
      <w:pPr>
        <w:ind w:left="1540" w:right="419" w:firstLine="329"/>
        <w:spacing w:after="0" w:line="271" w:lineRule="auto"/>
        <w:rPr>
          <w:sz w:val="20"/>
          <w:szCs w:val="20"/>
          <w:color w:val="auto"/>
        </w:rPr>
      </w:pPr>
      <w:r>
        <w:rPr>
          <w:rFonts w:ascii="Times New Roman" w:cs="Times New Roman" w:eastAsia="Times New Roman" w:hAnsi="Times New Roman"/>
          <w:sz w:val="13"/>
          <w:szCs w:val="13"/>
          <w:color w:val="auto"/>
        </w:rPr>
        <w:t>Cibus, Inc. is a holding company with substantially all of its assets and operations conducted through Cibus Global and its subsidiaries. The Company’s sole material asset consists of its interest in Cibus Global. Cibus, Inc. is the sole managing member of Cibus Global and is responsible for all operational, management and administrative decisions relating to Cibus Global’s business and consolidates the financial results of Cibus Global and its subsidiaries.</w:t>
      </w:r>
    </w:p>
    <w:p>
      <w:pPr>
        <w:spacing w:after="0" w:line="208"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3"/>
          <w:szCs w:val="13"/>
          <w:b w:val="1"/>
          <w:bCs w:val="1"/>
          <w:color w:val="auto"/>
        </w:rPr>
        <w:t>Implications of Being a Smaller Reporting Company</w:t>
      </w:r>
    </w:p>
    <w:p>
      <w:pPr>
        <w:spacing w:after="0" w:line="96" w:lineRule="exact"/>
        <w:rPr>
          <w:sz w:val="20"/>
          <w:szCs w:val="20"/>
          <w:color w:val="auto"/>
        </w:rPr>
      </w:pPr>
    </w:p>
    <w:p>
      <w:pPr>
        <w:ind w:left="1540" w:right="539" w:firstLine="329"/>
        <w:spacing w:after="0" w:line="265" w:lineRule="auto"/>
        <w:rPr>
          <w:sz w:val="20"/>
          <w:szCs w:val="20"/>
          <w:color w:val="auto"/>
        </w:rPr>
      </w:pPr>
      <w:r>
        <w:rPr>
          <w:rFonts w:ascii="Times New Roman" w:cs="Times New Roman" w:eastAsia="Times New Roman" w:hAnsi="Times New Roman"/>
          <w:sz w:val="13"/>
          <w:szCs w:val="13"/>
          <w:color w:val="auto"/>
        </w:rPr>
        <w:t>Cibus, Inc. is a “smaller reporting company” as defined in the Securities Exchange Act of 1934 (the “Exchange Act”). The Company may continue to be a smaller reporting company even though the Company no longer qualifies as an “emerging growth company.” As a smaller reporting company, the Company is exempt from the auditor attestation requirements of the Sarbanes-Oxley Act of 2002 and may also take advantage of certain scaled disclosure accommodations. The Company may remain a smaller reporting company until the fiscal year following the determination that its common stock held by non-affiliates is $250 million or more (measured on the last business day of the Company’s second fiscal quarter) or its annual revenues are $100 million or more during the most recently completed fiscal year and the Company’s common stock held by non-affiliates is $700 million or more (measured on the last business day of the Company’s second fiscal quarter).</w:t>
      </w:r>
    </w:p>
    <w:p>
      <w:pPr>
        <w:spacing w:after="0" w:line="211"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3"/>
          <w:szCs w:val="13"/>
          <w:b w:val="1"/>
          <w:bCs w:val="1"/>
          <w:color w:val="auto"/>
        </w:rPr>
        <w:t>Company Information</w:t>
      </w:r>
    </w:p>
    <w:p>
      <w:pPr>
        <w:spacing w:after="0" w:line="96"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3"/>
          <w:szCs w:val="13"/>
          <w:color w:val="auto"/>
        </w:rPr>
        <w:t>The Company’s Class A Common Stock trades on Nasdaq under the symbol “CBUS.” The Company’s principal executive offices are located at</w:t>
      </w:r>
    </w:p>
    <w:p>
      <w:pPr>
        <w:spacing w:after="0" w:line="24" w:lineRule="exact"/>
        <w:rPr>
          <w:sz w:val="20"/>
          <w:szCs w:val="20"/>
          <w:color w:val="auto"/>
        </w:rPr>
      </w:pPr>
    </w:p>
    <w:p>
      <w:pPr>
        <w:ind w:left="1540" w:right="719"/>
        <w:spacing w:after="0" w:line="277" w:lineRule="auto"/>
        <w:rPr>
          <w:sz w:val="20"/>
          <w:szCs w:val="20"/>
          <w:color w:val="auto"/>
        </w:rPr>
      </w:pPr>
      <w:r>
        <w:rPr>
          <w:rFonts w:ascii="Times New Roman" w:cs="Times New Roman" w:eastAsia="Times New Roman" w:hAnsi="Times New Roman"/>
          <w:sz w:val="13"/>
          <w:szCs w:val="13"/>
          <w:color w:val="auto"/>
        </w:rPr>
        <w:t>6455 Nancy Ridge Drive, San Diego, CA 92121 and the Company’s telephone number is (858) 450-0008. The Company’s filings with the SEC are posted on its corporate website at www.cibus.com. The information found on the Company’s website is not part of this prospectus.</w:t>
      </w:r>
    </w:p>
    <w:p>
      <w:pPr>
        <w:spacing w:after="0" w:line="7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4</w:t>
      </w:r>
    </w:p>
    <w:p>
      <w:pPr>
        <w:sectPr>
          <w:pgSz w:w="11900" w:h="16838" w:orient="portrait"/>
          <w:cols w:equalWidth="0" w:num="1">
            <w:col w:w="10159"/>
          </w:cols>
          <w:pgMar w:left="300" w:top="375" w:right="1440"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05345" cy="31750"/>
                    </a:xfrm>
                    <a:prstGeom prst="rect">
                      <a:avLst/>
                    </a:prstGeom>
                    <a:noFill/>
                  </pic:spPr>
                </pic:pic>
              </a:graphicData>
            </a:graphic>
          </wp:anchor>
        </w:drawing>
        <w:t>Table of Contents</w:t>
      </w:r>
    </w:p>
    <w:p>
      <w:pPr>
        <w:spacing w:after="0" w:line="24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RISK FACTORS</w:t>
      </w:r>
    </w:p>
    <w:p>
      <w:pPr>
        <w:spacing w:after="0" w:line="177" w:lineRule="exact"/>
        <w:rPr>
          <w:sz w:val="20"/>
          <w:szCs w:val="20"/>
          <w:color w:val="auto"/>
        </w:rPr>
      </w:pPr>
    </w:p>
    <w:p>
      <w:pPr>
        <w:ind w:left="1540" w:right="439" w:firstLine="329"/>
        <w:spacing w:after="0" w:line="263" w:lineRule="auto"/>
        <w:rPr>
          <w:sz w:val="20"/>
          <w:szCs w:val="20"/>
          <w:color w:val="auto"/>
        </w:rPr>
      </w:pPr>
      <w:r>
        <w:rPr>
          <w:rFonts w:ascii="Times New Roman" w:cs="Times New Roman" w:eastAsia="Times New Roman" w:hAnsi="Times New Roman"/>
          <w:sz w:val="13"/>
          <w:szCs w:val="13"/>
          <w:color w:val="auto"/>
        </w:rPr>
        <w:t>An investment in the Company’s securities involves a high degree of risk. You should carefully consider those risk factors described in “Item 1A. Risk Factors” in the Company’s Annual Report on Form 10-K filed with the SEC on March 17, 2026, as they may be updated or supplemented from time-to-time in any subsequently filed Quarterly Reports on Form 10-Q and Current Reports on Form 8-K (other than, in each case, information furnished rather than filed), which are incorporated by reference herein, and those risk factors that may be included in any applicable prospectus supplement, together with all of the other information included in this prospectus, any prospectus supplement and the documents Cibus incorporates by reference, in evaluating an investment in the Company’s securities. The Company’s business, prospects, financial condition or operating results could be harmed by any of these risks, as well as other risks not currently known to the Company or that it currently considers immaterial. The trading price of the Company’s Class A Common Stock could decline due to any of these risks, and, as a result, you may lose all or part of your investment. Before deciding whether to invest in the Company’s securities, you should also refer to the other information contained in or incorporated by reference into this prospectus, including the section entitled “Cautionary Note Regarding Forward-Looking Statements.”</w:t>
      </w:r>
    </w:p>
    <w:p>
      <w:pPr>
        <w:spacing w:after="0" w:line="8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5</w:t>
      </w:r>
    </w:p>
    <w:p>
      <w:pPr>
        <w:sectPr>
          <w:pgSz w:w="11900" w:h="16838" w:orient="portrait"/>
          <w:cols w:equalWidth="0" w:num="1">
            <w:col w:w="10159"/>
          </w:cols>
          <w:pgMar w:left="300" w:top="375" w:right="1440"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05345" cy="31750"/>
                    </a:xfrm>
                    <a:prstGeom prst="rect">
                      <a:avLst/>
                    </a:prstGeom>
                    <a:noFill/>
                  </pic:spPr>
                </pic:pic>
              </a:graphicData>
            </a:graphic>
          </wp:anchor>
        </w:drawing>
        <w:t>Table of Contents</w:t>
      </w:r>
    </w:p>
    <w:p>
      <w:pPr>
        <w:spacing w:after="0" w:line="24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USE OF PROCEEDS</w:t>
      </w:r>
    </w:p>
    <w:p>
      <w:pPr>
        <w:spacing w:after="0" w:line="177" w:lineRule="exact"/>
        <w:rPr>
          <w:sz w:val="20"/>
          <w:szCs w:val="20"/>
          <w:color w:val="auto"/>
        </w:rPr>
      </w:pPr>
    </w:p>
    <w:p>
      <w:pPr>
        <w:ind w:left="1540" w:right="439" w:firstLine="329"/>
        <w:spacing w:after="0" w:line="271" w:lineRule="auto"/>
        <w:rPr>
          <w:sz w:val="20"/>
          <w:szCs w:val="20"/>
          <w:color w:val="auto"/>
        </w:rPr>
      </w:pPr>
      <w:r>
        <w:rPr>
          <w:rFonts w:ascii="Times New Roman" w:cs="Times New Roman" w:eastAsia="Times New Roman" w:hAnsi="Times New Roman"/>
          <w:sz w:val="13"/>
          <w:szCs w:val="13"/>
          <w:color w:val="auto"/>
        </w:rPr>
        <w:t>Except as otherwise provided in any applicable prospectus supplement, Cibus intends to use the net proceeds it receives from the sale of securities for general corporate purposes. General corporate purposes may include research and development costs, the acquisitions or in-licensing of traits or technologies, repayment and refinancing of debt, working capital and capital expenditures. As a result, management will retain broad discretion over the allocation of net proceeds of any offering.</w:t>
      </w:r>
    </w:p>
    <w:p>
      <w:pPr>
        <w:spacing w:after="0" w:line="131" w:lineRule="exact"/>
        <w:rPr>
          <w:sz w:val="20"/>
          <w:szCs w:val="20"/>
          <w:color w:val="auto"/>
        </w:rPr>
      </w:pPr>
    </w:p>
    <w:p>
      <w:pPr>
        <w:ind w:left="1540" w:right="619" w:firstLine="329"/>
        <w:spacing w:after="0" w:line="297" w:lineRule="auto"/>
        <w:rPr>
          <w:sz w:val="20"/>
          <w:szCs w:val="20"/>
          <w:color w:val="auto"/>
        </w:rPr>
      </w:pPr>
      <w:r>
        <w:rPr>
          <w:rFonts w:ascii="Times New Roman" w:cs="Times New Roman" w:eastAsia="Times New Roman" w:hAnsi="Times New Roman"/>
          <w:sz w:val="13"/>
          <w:szCs w:val="13"/>
          <w:color w:val="auto"/>
        </w:rPr>
        <w:t>The specific allocation of the net proceeds of an offering of securities to a specific purpose if any, will be determined at the time of the offering and will be described in any applicable prospectus supplement.</w:t>
      </w:r>
    </w:p>
    <w:p>
      <w:pPr>
        <w:spacing w:after="0" w:line="6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6</w:t>
      </w:r>
    </w:p>
    <w:p>
      <w:pPr>
        <w:sectPr>
          <w:pgSz w:w="11900" w:h="16838" w:orient="portrait"/>
          <w:cols w:equalWidth="0" w:num="1">
            <w:col w:w="10159"/>
          </w:cols>
          <w:pgMar w:left="300" w:top="375" w:right="1440"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05345" cy="31750"/>
                    </a:xfrm>
                    <a:prstGeom prst="rect">
                      <a:avLst/>
                    </a:prstGeom>
                    <a:noFill/>
                  </pic:spPr>
                </pic:pic>
              </a:graphicData>
            </a:graphic>
          </wp:anchor>
        </w:drawing>
        <w:t>Table of Contents</w:t>
      </w:r>
    </w:p>
    <w:p>
      <w:pPr>
        <w:spacing w:after="0" w:line="244"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3"/>
          <w:szCs w:val="13"/>
          <w:b w:val="1"/>
          <w:bCs w:val="1"/>
          <w:color w:val="auto"/>
        </w:rPr>
        <w:t>PLAN OF DISTRIBUTION</w:t>
      </w:r>
    </w:p>
    <w:p>
      <w:pPr>
        <w:spacing w:after="0" w:line="177"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3"/>
          <w:szCs w:val="13"/>
          <w:color w:val="auto"/>
        </w:rPr>
        <w:t>The Company may use one or more of the following methods when selling securities under this prospectus:</w:t>
      </w:r>
    </w:p>
    <w:p>
      <w:pPr>
        <w:spacing w:after="0" w:line="102" w:lineRule="exact"/>
        <w:rPr>
          <w:sz w:val="20"/>
          <w:szCs w:val="20"/>
          <w:color w:val="auto"/>
        </w:rPr>
      </w:pPr>
    </w:p>
    <w:p>
      <w:pPr>
        <w:ind w:left="2260" w:hanging="325"/>
        <w:spacing w:after="0"/>
        <w:tabs>
          <w:tab w:leader="none" w:pos="226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underwritten transactions;</w:t>
      </w:r>
    </w:p>
    <w:p>
      <w:pPr>
        <w:spacing w:after="0" w:line="102" w:lineRule="exact"/>
        <w:rPr>
          <w:rFonts w:ascii="Times New Roman" w:cs="Times New Roman" w:eastAsia="Times New Roman" w:hAnsi="Times New Roman"/>
          <w:sz w:val="13"/>
          <w:szCs w:val="13"/>
          <w:color w:val="auto"/>
        </w:rPr>
      </w:pPr>
    </w:p>
    <w:p>
      <w:pPr>
        <w:ind w:left="2260" w:hanging="325"/>
        <w:spacing w:after="0"/>
        <w:tabs>
          <w:tab w:leader="none" w:pos="226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privately negotiated transactions;</w:t>
      </w:r>
    </w:p>
    <w:p>
      <w:pPr>
        <w:spacing w:after="0" w:line="102" w:lineRule="exact"/>
        <w:rPr>
          <w:rFonts w:ascii="Times New Roman" w:cs="Times New Roman" w:eastAsia="Times New Roman" w:hAnsi="Times New Roman"/>
          <w:sz w:val="13"/>
          <w:szCs w:val="13"/>
          <w:color w:val="auto"/>
        </w:rPr>
      </w:pPr>
    </w:p>
    <w:p>
      <w:pPr>
        <w:ind w:left="2260" w:hanging="325"/>
        <w:spacing w:after="0"/>
        <w:tabs>
          <w:tab w:leader="none" w:pos="226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exchange distributions and/or secondary distributions;</w:t>
      </w:r>
    </w:p>
    <w:p>
      <w:pPr>
        <w:spacing w:after="0" w:line="102" w:lineRule="exact"/>
        <w:rPr>
          <w:rFonts w:ascii="Times New Roman" w:cs="Times New Roman" w:eastAsia="Times New Roman" w:hAnsi="Times New Roman"/>
          <w:sz w:val="13"/>
          <w:szCs w:val="13"/>
          <w:color w:val="auto"/>
        </w:rPr>
      </w:pPr>
    </w:p>
    <w:p>
      <w:pPr>
        <w:ind w:left="2260" w:hanging="325"/>
        <w:spacing w:after="0"/>
        <w:tabs>
          <w:tab w:leader="none" w:pos="226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sales in the over-the-counter market;</w:t>
      </w:r>
    </w:p>
    <w:p>
      <w:pPr>
        <w:spacing w:after="0" w:line="102" w:lineRule="exact"/>
        <w:rPr>
          <w:rFonts w:ascii="Times New Roman" w:cs="Times New Roman" w:eastAsia="Times New Roman" w:hAnsi="Times New Roman"/>
          <w:sz w:val="13"/>
          <w:szCs w:val="13"/>
          <w:color w:val="auto"/>
        </w:rPr>
      </w:pPr>
    </w:p>
    <w:p>
      <w:pPr>
        <w:ind w:left="2260" w:hanging="325"/>
        <w:spacing w:after="0"/>
        <w:tabs>
          <w:tab w:leader="none" w:pos="226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ordinary brokerage transactions and transactions in which the broker-dealer solicits purchasers;</w:t>
      </w:r>
    </w:p>
    <w:p>
      <w:pPr>
        <w:spacing w:after="0" w:line="102" w:lineRule="exact"/>
        <w:rPr>
          <w:rFonts w:ascii="Times New Roman" w:cs="Times New Roman" w:eastAsia="Times New Roman" w:hAnsi="Times New Roman"/>
          <w:sz w:val="13"/>
          <w:szCs w:val="13"/>
          <w:color w:val="auto"/>
        </w:rPr>
      </w:pPr>
    </w:p>
    <w:p>
      <w:pPr>
        <w:ind w:left="2260" w:hanging="325"/>
        <w:spacing w:after="0"/>
        <w:tabs>
          <w:tab w:leader="none" w:pos="226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broker-dealers may agree to sell a specified number of such stock at a stipulated price per share;</w:t>
      </w:r>
    </w:p>
    <w:p>
      <w:pPr>
        <w:spacing w:after="0" w:line="102" w:lineRule="exact"/>
        <w:rPr>
          <w:rFonts w:ascii="Times New Roman" w:cs="Times New Roman" w:eastAsia="Times New Roman" w:hAnsi="Times New Roman"/>
          <w:sz w:val="13"/>
          <w:szCs w:val="13"/>
          <w:color w:val="auto"/>
        </w:rPr>
      </w:pPr>
    </w:p>
    <w:p>
      <w:pPr>
        <w:ind w:left="2260" w:right="839" w:hanging="325"/>
        <w:spacing w:after="0" w:line="297" w:lineRule="auto"/>
        <w:tabs>
          <w:tab w:leader="none" w:pos="226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block trades (which may involve crosses) in which the broker-dealer so engaged will attempt to sell the securities as agent, but may position and resell a portion of the block as principal to facilitate the transaction;</w:t>
      </w:r>
    </w:p>
    <w:p>
      <w:pPr>
        <w:spacing w:after="0" w:line="43" w:lineRule="exact"/>
        <w:rPr>
          <w:rFonts w:ascii="Times New Roman" w:cs="Times New Roman" w:eastAsia="Times New Roman" w:hAnsi="Times New Roman"/>
          <w:sz w:val="13"/>
          <w:szCs w:val="13"/>
          <w:color w:val="auto"/>
        </w:rPr>
      </w:pPr>
    </w:p>
    <w:p>
      <w:pPr>
        <w:ind w:left="2260" w:hanging="325"/>
        <w:spacing w:after="0"/>
        <w:tabs>
          <w:tab w:leader="none" w:pos="226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purchases by a broker-dealer as principal and resale by the broker-dealer for its own account;</w:t>
      </w:r>
    </w:p>
    <w:p>
      <w:pPr>
        <w:spacing w:after="0" w:line="102" w:lineRule="exact"/>
        <w:rPr>
          <w:rFonts w:ascii="Times New Roman" w:cs="Times New Roman" w:eastAsia="Times New Roman" w:hAnsi="Times New Roman"/>
          <w:sz w:val="13"/>
          <w:szCs w:val="13"/>
          <w:color w:val="auto"/>
        </w:rPr>
      </w:pPr>
    </w:p>
    <w:p>
      <w:pPr>
        <w:ind w:left="2260" w:hanging="325"/>
        <w:spacing w:after="0"/>
        <w:tabs>
          <w:tab w:leader="none" w:pos="226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short sales and delivery of shares of the Company’s Class A Common Stock to close out short positions;</w:t>
      </w:r>
    </w:p>
    <w:p>
      <w:pPr>
        <w:spacing w:after="0" w:line="102" w:lineRule="exact"/>
        <w:rPr>
          <w:rFonts w:ascii="Times New Roman" w:cs="Times New Roman" w:eastAsia="Times New Roman" w:hAnsi="Times New Roman"/>
          <w:sz w:val="13"/>
          <w:szCs w:val="13"/>
          <w:color w:val="auto"/>
        </w:rPr>
      </w:pPr>
    </w:p>
    <w:p>
      <w:pPr>
        <w:ind w:left="2260" w:hanging="325"/>
        <w:spacing w:after="0"/>
        <w:tabs>
          <w:tab w:leader="none" w:pos="226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sales by broker-dealers of shares of the Company’s Class A Common Stock that are loaned or pledged to such broker-dealers;</w:t>
      </w:r>
    </w:p>
    <w:p>
      <w:pPr>
        <w:spacing w:after="0" w:line="102" w:lineRule="exact"/>
        <w:rPr>
          <w:rFonts w:ascii="Times New Roman" w:cs="Times New Roman" w:eastAsia="Times New Roman" w:hAnsi="Times New Roman"/>
          <w:sz w:val="13"/>
          <w:szCs w:val="13"/>
          <w:color w:val="auto"/>
        </w:rPr>
      </w:pPr>
    </w:p>
    <w:p>
      <w:pPr>
        <w:ind w:left="2260" w:hanging="325"/>
        <w:spacing w:after="0"/>
        <w:tabs>
          <w:tab w:leader="none" w:pos="226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“at-the-market” offerings into an existing trading market in accordance with Rule 415(a)(4) under the Securities Act;</w:t>
      </w:r>
    </w:p>
    <w:p>
      <w:pPr>
        <w:spacing w:after="0" w:line="102" w:lineRule="exact"/>
        <w:rPr>
          <w:rFonts w:ascii="Times New Roman" w:cs="Times New Roman" w:eastAsia="Times New Roman" w:hAnsi="Times New Roman"/>
          <w:sz w:val="13"/>
          <w:szCs w:val="13"/>
          <w:color w:val="auto"/>
        </w:rPr>
      </w:pPr>
    </w:p>
    <w:p>
      <w:pPr>
        <w:ind w:left="2260" w:hanging="325"/>
        <w:spacing w:after="0"/>
        <w:tabs>
          <w:tab w:leader="none" w:pos="226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 dividends or through a distribution of subscription rights to the Company’s existing security holders;</w:t>
      </w:r>
    </w:p>
    <w:p>
      <w:pPr>
        <w:spacing w:after="0" w:line="102" w:lineRule="exact"/>
        <w:rPr>
          <w:rFonts w:ascii="Times New Roman" w:cs="Times New Roman" w:eastAsia="Times New Roman" w:hAnsi="Times New Roman"/>
          <w:sz w:val="13"/>
          <w:szCs w:val="13"/>
          <w:color w:val="auto"/>
        </w:rPr>
      </w:pPr>
    </w:p>
    <w:p>
      <w:pPr>
        <w:ind w:left="2260" w:hanging="325"/>
        <w:spacing w:after="0"/>
        <w:tabs>
          <w:tab w:leader="none" w:pos="226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combination of any such methods of sale; and</w:t>
      </w:r>
    </w:p>
    <w:p>
      <w:pPr>
        <w:spacing w:after="0" w:line="102" w:lineRule="exact"/>
        <w:rPr>
          <w:rFonts w:ascii="Times New Roman" w:cs="Times New Roman" w:eastAsia="Times New Roman" w:hAnsi="Times New Roman"/>
          <w:sz w:val="13"/>
          <w:szCs w:val="13"/>
          <w:color w:val="auto"/>
        </w:rPr>
      </w:pPr>
    </w:p>
    <w:p>
      <w:pPr>
        <w:ind w:left="2260" w:hanging="325"/>
        <w:spacing w:after="0"/>
        <w:tabs>
          <w:tab w:leader="none" w:pos="226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other method permitted pursuant to applicable law.</w:t>
      </w:r>
    </w:p>
    <w:p>
      <w:pPr>
        <w:spacing w:after="0" w:line="173" w:lineRule="exact"/>
        <w:rPr>
          <w:sz w:val="20"/>
          <w:szCs w:val="20"/>
          <w:color w:val="auto"/>
        </w:rPr>
      </w:pPr>
    </w:p>
    <w:p>
      <w:pPr>
        <w:jc w:val="both"/>
        <w:ind w:left="1540" w:right="499" w:firstLine="329"/>
        <w:spacing w:after="0" w:line="278" w:lineRule="auto"/>
        <w:rPr>
          <w:sz w:val="20"/>
          <w:szCs w:val="20"/>
          <w:color w:val="auto"/>
        </w:rPr>
      </w:pPr>
      <w:r>
        <w:rPr>
          <w:rFonts w:ascii="Times New Roman" w:cs="Times New Roman" w:eastAsia="Times New Roman" w:hAnsi="Times New Roman"/>
          <w:sz w:val="13"/>
          <w:szCs w:val="13"/>
          <w:color w:val="auto"/>
        </w:rPr>
        <w:t>The Company may prepare prospectus supplements that will disclose the terms of the offering, including the name or names of any underwriters, dealers or agents, the purchase price of the securities, any underwriting discounts and other items constituting compensation to underwriters, dealers or agents.</w:t>
      </w:r>
    </w:p>
    <w:p>
      <w:pPr>
        <w:spacing w:after="0" w:line="125"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3"/>
          <w:szCs w:val="13"/>
          <w:color w:val="auto"/>
        </w:rPr>
        <w:t>The Company may fix a price or prices of the Company’s securities at:</w:t>
      </w:r>
    </w:p>
    <w:p>
      <w:pPr>
        <w:spacing w:after="0" w:line="102" w:lineRule="exact"/>
        <w:rPr>
          <w:sz w:val="20"/>
          <w:szCs w:val="20"/>
          <w:color w:val="auto"/>
        </w:rPr>
      </w:pPr>
    </w:p>
    <w:p>
      <w:pPr>
        <w:ind w:left="2260" w:hanging="325"/>
        <w:spacing w:after="0"/>
        <w:tabs>
          <w:tab w:leader="none" w:pos="226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market prices prevailing at the time of any sale under this registration statement;</w:t>
      </w:r>
    </w:p>
    <w:p>
      <w:pPr>
        <w:spacing w:after="0" w:line="102" w:lineRule="exact"/>
        <w:rPr>
          <w:rFonts w:ascii="Times New Roman" w:cs="Times New Roman" w:eastAsia="Times New Roman" w:hAnsi="Times New Roman"/>
          <w:sz w:val="13"/>
          <w:szCs w:val="13"/>
          <w:color w:val="auto"/>
        </w:rPr>
      </w:pPr>
    </w:p>
    <w:p>
      <w:pPr>
        <w:ind w:left="2260" w:hanging="325"/>
        <w:spacing w:after="0"/>
        <w:tabs>
          <w:tab w:leader="none" w:pos="226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prices related to market prices; or</w:t>
      </w:r>
    </w:p>
    <w:p>
      <w:pPr>
        <w:spacing w:after="0" w:line="102" w:lineRule="exact"/>
        <w:rPr>
          <w:rFonts w:ascii="Times New Roman" w:cs="Times New Roman" w:eastAsia="Times New Roman" w:hAnsi="Times New Roman"/>
          <w:sz w:val="13"/>
          <w:szCs w:val="13"/>
          <w:color w:val="auto"/>
        </w:rPr>
      </w:pPr>
    </w:p>
    <w:p>
      <w:pPr>
        <w:ind w:left="2260" w:hanging="325"/>
        <w:spacing w:after="0"/>
        <w:tabs>
          <w:tab w:leader="none" w:pos="226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negotiated prices.</w:t>
      </w:r>
    </w:p>
    <w:p>
      <w:pPr>
        <w:spacing w:after="0" w:line="173"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3"/>
          <w:szCs w:val="13"/>
          <w:color w:val="auto"/>
        </w:rPr>
        <w:t>The Company may change the price of the securities offered from time to time.</w:t>
      </w:r>
    </w:p>
    <w:p>
      <w:pPr>
        <w:spacing w:after="0" w:line="173" w:lineRule="exact"/>
        <w:rPr>
          <w:sz w:val="20"/>
          <w:szCs w:val="20"/>
          <w:color w:val="auto"/>
        </w:rPr>
      </w:pPr>
    </w:p>
    <w:p>
      <w:pPr>
        <w:ind w:left="1540" w:right="619" w:firstLine="329"/>
        <w:spacing w:after="0" w:line="297" w:lineRule="auto"/>
        <w:rPr>
          <w:sz w:val="20"/>
          <w:szCs w:val="20"/>
          <w:color w:val="auto"/>
        </w:rPr>
      </w:pPr>
      <w:r>
        <w:rPr>
          <w:rFonts w:ascii="Times New Roman" w:cs="Times New Roman" w:eastAsia="Times New Roman" w:hAnsi="Times New Roman"/>
          <w:sz w:val="13"/>
          <w:szCs w:val="13"/>
          <w:color w:val="auto"/>
        </w:rPr>
        <w:t>The Company may sell securities through brokers, dealers, agents or underwriters, who may act on a best-efforts basis for a specified period of appointment or on a firm commitment basis.</w:t>
      </w:r>
    </w:p>
    <w:p>
      <w:pPr>
        <w:spacing w:after="0" w:line="114" w:lineRule="exact"/>
        <w:rPr>
          <w:sz w:val="20"/>
          <w:szCs w:val="20"/>
          <w:color w:val="auto"/>
        </w:rPr>
      </w:pPr>
    </w:p>
    <w:p>
      <w:pPr>
        <w:ind w:left="1540" w:right="419" w:firstLine="329"/>
        <w:spacing w:after="0" w:line="268" w:lineRule="auto"/>
        <w:rPr>
          <w:sz w:val="20"/>
          <w:szCs w:val="20"/>
          <w:color w:val="auto"/>
        </w:rPr>
      </w:pPr>
      <w:r>
        <w:rPr>
          <w:rFonts w:ascii="Times New Roman" w:cs="Times New Roman" w:eastAsia="Times New Roman" w:hAnsi="Times New Roman"/>
          <w:sz w:val="13"/>
          <w:szCs w:val="13"/>
          <w:color w:val="auto"/>
        </w:rPr>
        <w:t>If the Company uses underwriters in an offering, the Company may execute an underwriting agreement with such underwriters and will specify the name of each underwriter and the terms of the transaction (including any underwriting discounts and other terms constituting compensation of the underwriters and any dealers) in a prospectus supplement. If the Company uses an underwriting syndicate, the managing underwriter(s) will be specified on the cover of the prospectus supplement. If the Company uses underwriters for a sale of securities, the underwriters will acquire the securities for their own accounts. The underwriters may resell the securities</w:t>
      </w:r>
    </w:p>
    <w:p>
      <w:pPr>
        <w:spacing w:after="0" w:line="8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7</w:t>
      </w:r>
    </w:p>
    <w:p>
      <w:pPr>
        <w:sectPr>
          <w:pgSz w:w="11900" w:h="16838" w:orient="portrait"/>
          <w:cols w:equalWidth="0" w:num="1">
            <w:col w:w="10159"/>
          </w:cols>
          <w:pgMar w:left="300" w:top="375" w:right="1440"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05345" cy="31750"/>
                    </a:xfrm>
                    <a:prstGeom prst="rect">
                      <a:avLst/>
                    </a:prstGeom>
                    <a:noFill/>
                  </pic:spPr>
                </pic:pic>
              </a:graphicData>
            </a:graphic>
          </wp:anchor>
        </w:drawing>
        <w:t>Table of Contents</w:t>
      </w:r>
    </w:p>
    <w:p>
      <w:pPr>
        <w:spacing w:after="0" w:line="248" w:lineRule="exact"/>
        <w:rPr>
          <w:sz w:val="20"/>
          <w:szCs w:val="20"/>
          <w:color w:val="auto"/>
        </w:rPr>
      </w:pPr>
    </w:p>
    <w:p>
      <w:pPr>
        <w:ind w:left="1540" w:right="599"/>
        <w:spacing w:after="0" w:line="271" w:lineRule="auto"/>
        <w:rPr>
          <w:sz w:val="20"/>
          <w:szCs w:val="20"/>
          <w:color w:val="auto"/>
        </w:rPr>
      </w:pPr>
      <w:r>
        <w:rPr>
          <w:rFonts w:ascii="Times New Roman" w:cs="Times New Roman" w:eastAsia="Times New Roman" w:hAnsi="Times New Roman"/>
          <w:sz w:val="13"/>
          <w:szCs w:val="13"/>
          <w:color w:val="auto"/>
        </w:rPr>
        <w:t>from time to time in one or more transactions, including negotiated transactions, at a fixed public offering price or at varying prices determined at the time of sale. Any public offering price and any discounts or concessions allowed or reallowed or paid to dealers may be changed from time to time. Unless otherwise set forth in the prospectus supplement, the obligations of the underwriters to purchase the offered securities will be subject to conditions precedent and the underwriters will be obligated to purchase all of the offered securities if any are purchased.</w:t>
      </w:r>
    </w:p>
    <w:p>
      <w:pPr>
        <w:spacing w:after="0" w:line="131" w:lineRule="exact"/>
        <w:rPr>
          <w:sz w:val="20"/>
          <w:szCs w:val="20"/>
          <w:color w:val="auto"/>
        </w:rPr>
      </w:pPr>
    </w:p>
    <w:p>
      <w:pPr>
        <w:ind w:left="1540" w:right="459" w:firstLine="329"/>
        <w:spacing w:after="0" w:line="278" w:lineRule="auto"/>
        <w:rPr>
          <w:sz w:val="20"/>
          <w:szCs w:val="20"/>
          <w:color w:val="auto"/>
        </w:rPr>
      </w:pPr>
      <w:r>
        <w:rPr>
          <w:rFonts w:ascii="Times New Roman" w:cs="Times New Roman" w:eastAsia="Times New Roman" w:hAnsi="Times New Roman"/>
          <w:sz w:val="13"/>
          <w:szCs w:val="13"/>
          <w:color w:val="auto"/>
        </w:rPr>
        <w:t>If dealers are used in an offering, the Company may sell the securities to the dealers as principals. The dealers then may resell the securities to the public at varying prices which they determine at the time of resale. The names of the dealers and the terms of the transaction will be specified in a prospectus supplement.</w:t>
      </w:r>
    </w:p>
    <w:p>
      <w:pPr>
        <w:spacing w:after="0" w:line="125" w:lineRule="exact"/>
        <w:rPr>
          <w:sz w:val="20"/>
          <w:szCs w:val="20"/>
          <w:color w:val="auto"/>
        </w:rPr>
      </w:pPr>
    </w:p>
    <w:p>
      <w:pPr>
        <w:ind w:left="1540" w:right="899" w:firstLine="329"/>
        <w:spacing w:after="0" w:line="297" w:lineRule="auto"/>
        <w:rPr>
          <w:sz w:val="20"/>
          <w:szCs w:val="20"/>
          <w:color w:val="auto"/>
        </w:rPr>
      </w:pPr>
      <w:r>
        <w:rPr>
          <w:rFonts w:ascii="Times New Roman" w:cs="Times New Roman" w:eastAsia="Times New Roman" w:hAnsi="Times New Roman"/>
          <w:sz w:val="13"/>
          <w:szCs w:val="13"/>
          <w:color w:val="auto"/>
        </w:rPr>
        <w:t>If agents are used in an offering, the names of the agents and the terms of the agency will be specified in a prospectus supplement. Unless otherwise indicated in a prospectus supplement, the agents will act on a best-efforts basis for the period of their appointment.</w:t>
      </w:r>
    </w:p>
    <w:p>
      <w:pPr>
        <w:spacing w:after="0" w:line="114" w:lineRule="exact"/>
        <w:rPr>
          <w:sz w:val="20"/>
          <w:szCs w:val="20"/>
          <w:color w:val="auto"/>
        </w:rPr>
      </w:pPr>
    </w:p>
    <w:p>
      <w:pPr>
        <w:ind w:left="1540" w:right="419" w:firstLine="329"/>
        <w:spacing w:after="0" w:line="268" w:lineRule="auto"/>
        <w:rPr>
          <w:sz w:val="20"/>
          <w:szCs w:val="20"/>
          <w:color w:val="auto"/>
        </w:rPr>
      </w:pPr>
      <w:r>
        <w:rPr>
          <w:rFonts w:ascii="Times New Roman" w:cs="Times New Roman" w:eastAsia="Times New Roman" w:hAnsi="Times New Roman"/>
          <w:sz w:val="13"/>
          <w:szCs w:val="13"/>
          <w:color w:val="auto"/>
        </w:rPr>
        <w:t>Dealers and agents named in a prospectus supplement may be underwriters as defined in the Securities Act and any discounts or commissions they receive from the Company and any profit on their resale of the securities may be treated as underwriting discounts and commissions under the Securities Act. The Company may identify in the applicable prospectus supplement any underwriters, dealers or agents and will describe their compensation. The Company may enter into agreements with the underwriters, dealers and agents to indemnify them against specified civil liabilities, including liabilities under the Securities Act.</w:t>
      </w:r>
    </w:p>
    <w:p>
      <w:pPr>
        <w:spacing w:after="0" w:line="133" w:lineRule="exact"/>
        <w:rPr>
          <w:sz w:val="20"/>
          <w:szCs w:val="20"/>
          <w:color w:val="auto"/>
        </w:rPr>
      </w:pPr>
    </w:p>
    <w:p>
      <w:pPr>
        <w:ind w:left="1540" w:right="719" w:firstLine="329"/>
        <w:spacing w:after="0" w:line="297" w:lineRule="auto"/>
        <w:rPr>
          <w:sz w:val="20"/>
          <w:szCs w:val="20"/>
          <w:color w:val="auto"/>
        </w:rPr>
      </w:pPr>
      <w:r>
        <w:rPr>
          <w:rFonts w:ascii="Times New Roman" w:cs="Times New Roman" w:eastAsia="Times New Roman" w:hAnsi="Times New Roman"/>
          <w:sz w:val="13"/>
          <w:szCs w:val="13"/>
          <w:color w:val="auto"/>
        </w:rPr>
        <w:t>Underwriters, dealers or agents and their associates may engage in other transactions with and perform other services for the Company in the ordinary course of business.</w:t>
      </w:r>
    </w:p>
    <w:p>
      <w:pPr>
        <w:spacing w:after="0" w:line="114" w:lineRule="exact"/>
        <w:rPr>
          <w:sz w:val="20"/>
          <w:szCs w:val="20"/>
          <w:color w:val="auto"/>
        </w:rPr>
      </w:pPr>
    </w:p>
    <w:p>
      <w:pPr>
        <w:ind w:left="1540" w:right="579" w:firstLine="329"/>
        <w:spacing w:after="0" w:line="268" w:lineRule="auto"/>
        <w:rPr>
          <w:sz w:val="20"/>
          <w:szCs w:val="20"/>
          <w:color w:val="auto"/>
        </w:rPr>
      </w:pPr>
      <w:r>
        <w:rPr>
          <w:rFonts w:ascii="Times New Roman" w:cs="Times New Roman" w:eastAsia="Times New Roman" w:hAnsi="Times New Roman"/>
          <w:sz w:val="13"/>
          <w:szCs w:val="13"/>
          <w:color w:val="auto"/>
        </w:rPr>
        <w:t>If so indicated in a prospectus supplement, the Company may authorize underwriters or other persons acting as its agents to solicit offers by institutional investors to purchase securities pursuant to contracts providing for payment and delivery on a future date. The Company may enter contracts with commercial and savings banks, insurance companies, pension funds, investment companies, educational and charitable institutions and other institutional investors. The obligations of any institutional investor will be subject to the condition that its purchase of the offered securities will not be illegal at the time of delivery. The underwriters and other agents will not be responsible for the validity or performance of contracts.</w:t>
      </w:r>
    </w:p>
    <w:p>
      <w:pPr>
        <w:spacing w:after="0" w:line="133" w:lineRule="exact"/>
        <w:rPr>
          <w:sz w:val="20"/>
          <w:szCs w:val="20"/>
          <w:color w:val="auto"/>
        </w:rPr>
      </w:pPr>
    </w:p>
    <w:p>
      <w:pPr>
        <w:ind w:left="1540" w:right="479" w:firstLine="329"/>
        <w:spacing w:after="0" w:line="266" w:lineRule="auto"/>
        <w:rPr>
          <w:sz w:val="20"/>
          <w:szCs w:val="20"/>
          <w:color w:val="auto"/>
        </w:rPr>
      </w:pPr>
      <w:r>
        <w:rPr>
          <w:rFonts w:ascii="Times New Roman" w:cs="Times New Roman" w:eastAsia="Times New Roman" w:hAnsi="Times New Roman"/>
          <w:sz w:val="13"/>
          <w:szCs w:val="13"/>
          <w:color w:val="auto"/>
        </w:rPr>
        <w:t>In addition, the Company may enter into derivative transactions with third parties, or sell securities not covered by this prospectus to third parties in privately negotiated transactions. If the applicable prospectus supplement so indicates, in connection with those derivatives, the third parties may sell securities covered by this prospectus and the applicable prospectus supplement, including in short sale transactions. If so, the third party may use securities pledged by the Company or borrowed from it or others to settle those sales or to close out any related open borrowings of stock, and may use securities received from the Company in settlement of those derivatives to close out any related open borrowings of stock. The third party in such sale transactions will be an underwriter and, if not identified in this prospectus, will be named in the applicable prospectus supplement (or a post-effective amendment).</w:t>
      </w:r>
    </w:p>
    <w:p>
      <w:pPr>
        <w:spacing w:after="0" w:line="296" w:lineRule="exact"/>
        <w:rPr>
          <w:sz w:val="20"/>
          <w:szCs w:val="20"/>
          <w:color w:val="auto"/>
        </w:rPr>
      </w:pPr>
    </w:p>
    <w:p>
      <w:pPr>
        <w:ind w:left="1540" w:right="559" w:firstLine="329"/>
        <w:spacing w:after="0" w:line="278" w:lineRule="auto"/>
        <w:rPr>
          <w:sz w:val="20"/>
          <w:szCs w:val="20"/>
          <w:color w:val="auto"/>
        </w:rPr>
      </w:pPr>
      <w:r>
        <w:rPr>
          <w:rFonts w:ascii="Times New Roman" w:cs="Times New Roman" w:eastAsia="Times New Roman" w:hAnsi="Times New Roman"/>
          <w:sz w:val="13"/>
          <w:szCs w:val="13"/>
          <w:color w:val="auto"/>
        </w:rPr>
        <w:t>In addition, the Company may otherwise loan or pledge securities to a financial institution or other third party that in turn may sell the securities short using this prospectus and an applicable prospectus supplement. Such financial institution or other third party may transfer its economic short position to investors in the Company’s securities or in connection with a concurrent offering of other securities.</w:t>
      </w:r>
    </w:p>
    <w:p>
      <w:pPr>
        <w:spacing w:after="0" w:line="125" w:lineRule="exact"/>
        <w:rPr>
          <w:sz w:val="20"/>
          <w:szCs w:val="20"/>
          <w:color w:val="auto"/>
        </w:rPr>
      </w:pPr>
    </w:p>
    <w:p>
      <w:pPr>
        <w:ind w:left="1540" w:right="419" w:firstLine="329"/>
        <w:spacing w:after="0" w:line="278" w:lineRule="auto"/>
        <w:rPr>
          <w:sz w:val="20"/>
          <w:szCs w:val="20"/>
          <w:color w:val="auto"/>
        </w:rPr>
      </w:pPr>
      <w:r>
        <w:rPr>
          <w:rFonts w:ascii="Times New Roman" w:cs="Times New Roman" w:eastAsia="Times New Roman" w:hAnsi="Times New Roman"/>
          <w:sz w:val="13"/>
          <w:szCs w:val="13"/>
          <w:color w:val="auto"/>
        </w:rPr>
        <w:t>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 allot in connection with the offering, creating a short position for their own accounts. In addition, to cover overallotments or to stabilize the</w:t>
      </w:r>
    </w:p>
    <w:p>
      <w:pPr>
        <w:spacing w:after="0" w:line="7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8</w:t>
      </w:r>
    </w:p>
    <w:p>
      <w:pPr>
        <w:sectPr>
          <w:pgSz w:w="11900" w:h="16838" w:orient="portrait"/>
          <w:cols w:equalWidth="0" w:num="1">
            <w:col w:w="10159"/>
          </w:cols>
          <w:pgMar w:left="300" w:top="375" w:right="1440"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05345" cy="31750"/>
                    </a:xfrm>
                    <a:prstGeom prst="rect">
                      <a:avLst/>
                    </a:prstGeom>
                    <a:noFill/>
                  </pic:spPr>
                </pic:pic>
              </a:graphicData>
            </a:graphic>
          </wp:anchor>
        </w:drawing>
        <w:t>Table of Contents</w:t>
      </w:r>
    </w:p>
    <w:p>
      <w:pPr>
        <w:spacing w:after="0" w:line="248" w:lineRule="exact"/>
        <w:rPr>
          <w:sz w:val="20"/>
          <w:szCs w:val="20"/>
          <w:color w:val="auto"/>
        </w:rPr>
      </w:pPr>
    </w:p>
    <w:p>
      <w:pPr>
        <w:ind w:left="1540" w:right="559"/>
        <w:spacing w:after="0" w:line="266" w:lineRule="auto"/>
        <w:rPr>
          <w:sz w:val="20"/>
          <w:szCs w:val="20"/>
          <w:color w:val="auto"/>
        </w:rPr>
      </w:pPr>
      <w:r>
        <w:rPr>
          <w:rFonts w:ascii="Times New Roman" w:cs="Times New Roman" w:eastAsia="Times New Roman" w:hAnsi="Times New Roman"/>
          <w:sz w:val="13"/>
          <w:szCs w:val="13"/>
          <w:color w:val="auto"/>
        </w:rPr>
        <w:t>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w:t>
      </w:r>
    </w:p>
    <w:p>
      <w:pPr>
        <w:spacing w:after="0" w:line="135" w:lineRule="exact"/>
        <w:rPr>
          <w:sz w:val="20"/>
          <w:szCs w:val="20"/>
          <w:color w:val="auto"/>
        </w:rPr>
      </w:pPr>
    </w:p>
    <w:p>
      <w:pPr>
        <w:ind w:left="1540" w:right="519" w:firstLine="329"/>
        <w:spacing w:after="0" w:line="263" w:lineRule="auto"/>
        <w:rPr>
          <w:sz w:val="20"/>
          <w:szCs w:val="20"/>
          <w:color w:val="auto"/>
        </w:rPr>
      </w:pPr>
      <w:r>
        <w:rPr>
          <w:rFonts w:ascii="Times New Roman" w:cs="Times New Roman" w:eastAsia="Times New Roman" w:hAnsi="Times New Roman"/>
          <w:sz w:val="13"/>
          <w:szCs w:val="13"/>
          <w:color w:val="auto"/>
        </w:rPr>
        <w:t>The place and time of delivery for securities will be set forth in the accompanying prospectus supplement. Under Rule 15c6-1 of the Exchange Act, trades in the secondary market generally are required to settle in two business days, unless the parties to any such trade expressly agree otherwise. The applicable prospectus supplement may provide that the original issue date for securities may be more than two scheduled business days after the trade date for your securities. Accordingly, in such a case, if a purchaser wishes to trade securities on any date prior to the second business day before the original issue date for such securities, the purchaser will be required, by virtue of the fact that such securities initially are expected to settle in more than two scheduled business days after the trade date for such securities, to make alternative settlement arrangements to prevent a failed settlement. To comply with applicable state securities laws, the securities offered by this prospectus will be sold, if necessary, in such jurisdictions only through registered or licensed brokers or dealers. In addition, securities may not be sold in some states absent registration or pursuant to an exemption from applicable state securities laws.</w:t>
      </w:r>
    </w:p>
    <w:p>
      <w:pPr>
        <w:spacing w:after="0" w:line="138" w:lineRule="exact"/>
        <w:rPr>
          <w:sz w:val="20"/>
          <w:szCs w:val="20"/>
          <w:color w:val="auto"/>
        </w:rPr>
      </w:pPr>
    </w:p>
    <w:p>
      <w:pPr>
        <w:ind w:left="1540" w:right="519" w:firstLine="329"/>
        <w:spacing w:after="0" w:line="297" w:lineRule="auto"/>
        <w:rPr>
          <w:sz w:val="20"/>
          <w:szCs w:val="20"/>
          <w:color w:val="auto"/>
        </w:rPr>
      </w:pPr>
      <w:r>
        <w:rPr>
          <w:rFonts w:ascii="Times New Roman" w:cs="Times New Roman" w:eastAsia="Times New Roman" w:hAnsi="Times New Roman"/>
          <w:sz w:val="13"/>
          <w:szCs w:val="13"/>
          <w:color w:val="auto"/>
        </w:rPr>
        <w:t>The securities may be new issues of securities and may have no established trading market. The securities may or may not be listed on a national securities exchange. Cibus can make no assurance as to the liquidity of or the existence of trading markets for any of the securities.</w:t>
      </w:r>
    </w:p>
    <w:p>
      <w:pPr>
        <w:spacing w:after="0" w:line="114"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3"/>
          <w:szCs w:val="13"/>
          <w:color w:val="auto"/>
        </w:rPr>
        <w:t>The specific terms of any lock-up provisions in respect of any given offering will be described in any applicable prospectus supplement.</w:t>
      </w:r>
    </w:p>
    <w:p>
      <w:pPr>
        <w:spacing w:after="0" w:line="173"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3"/>
          <w:szCs w:val="13"/>
          <w:color w:val="auto"/>
        </w:rPr>
        <w:t>To the extent required, this prospectus may be amended or supplemented from time to time to describe a specific plan of distribution.</w:t>
      </w:r>
    </w:p>
    <w:p>
      <w:pPr>
        <w:spacing w:after="0" w:line="1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9</w:t>
      </w:r>
    </w:p>
    <w:p>
      <w:pPr>
        <w:sectPr>
          <w:pgSz w:w="11900" w:h="16838" w:orient="portrait"/>
          <w:cols w:equalWidth="0" w:num="1">
            <w:col w:w="10159"/>
          </w:cols>
          <w:pgMar w:left="300" w:top="375" w:right="1440"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05345" cy="31750"/>
                    </a:xfrm>
                    <a:prstGeom prst="rect">
                      <a:avLst/>
                    </a:prstGeom>
                    <a:noFill/>
                  </pic:spPr>
                </pic:pic>
              </a:graphicData>
            </a:graphic>
          </wp:anchor>
        </w:drawing>
        <w:t>Table of Contents</w:t>
      </w:r>
    </w:p>
    <w:p>
      <w:pPr>
        <w:spacing w:after="0" w:line="24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DESCRIPTION OF CAPITAL STOCK</w:t>
      </w:r>
    </w:p>
    <w:p>
      <w:pPr>
        <w:spacing w:after="0" w:line="177" w:lineRule="exact"/>
        <w:rPr>
          <w:sz w:val="20"/>
          <w:szCs w:val="20"/>
          <w:color w:val="auto"/>
        </w:rPr>
      </w:pPr>
    </w:p>
    <w:p>
      <w:pPr>
        <w:ind w:left="1540" w:right="619" w:firstLine="329"/>
        <w:spacing w:after="0" w:line="271" w:lineRule="auto"/>
        <w:rPr>
          <w:sz w:val="20"/>
          <w:szCs w:val="20"/>
          <w:color w:val="auto"/>
        </w:rPr>
      </w:pPr>
      <w:r>
        <w:rPr>
          <w:rFonts w:ascii="Times New Roman" w:cs="Times New Roman" w:eastAsia="Times New Roman" w:hAnsi="Times New Roman"/>
          <w:sz w:val="13"/>
          <w:szCs w:val="13"/>
          <w:color w:val="auto"/>
        </w:rPr>
        <w:t>The following summary of certain material provisions of the Company’s capital stock does not purport to be complete and is subject to and qualified by reference to the Company’s second amended and restated certificate of incorporation (the Company’s “Amended and Restated Charter”) and the Company’s amended and restated bylaws (the Company’s “Amended Bylaws”). The summary below is also qualified by reference to the provisions of the Delaware General Corporation Law (the “DGCL”).</w:t>
      </w:r>
    </w:p>
    <w:p>
      <w:pPr>
        <w:spacing w:after="0" w:line="208"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3"/>
          <w:szCs w:val="13"/>
          <w:b w:val="1"/>
          <w:bCs w:val="1"/>
          <w:color w:val="auto"/>
        </w:rPr>
        <w:t>General</w:t>
      </w:r>
    </w:p>
    <w:p>
      <w:pPr>
        <w:spacing w:after="0" w:line="96" w:lineRule="exact"/>
        <w:rPr>
          <w:sz w:val="20"/>
          <w:szCs w:val="20"/>
          <w:color w:val="auto"/>
        </w:rPr>
      </w:pPr>
    </w:p>
    <w:p>
      <w:pPr>
        <w:ind w:left="1540" w:right="579" w:firstLine="329"/>
        <w:spacing w:after="0" w:line="268" w:lineRule="auto"/>
        <w:rPr>
          <w:sz w:val="20"/>
          <w:szCs w:val="20"/>
          <w:color w:val="auto"/>
        </w:rPr>
      </w:pPr>
      <w:r>
        <w:rPr>
          <w:rFonts w:ascii="Times New Roman" w:cs="Times New Roman" w:eastAsia="Times New Roman" w:hAnsi="Times New Roman"/>
          <w:sz w:val="13"/>
          <w:szCs w:val="13"/>
          <w:color w:val="auto"/>
        </w:rPr>
        <w:t>The Company’s total number of authorized shares of capital stock consists of (i) 210,000,000 shares of Class A Common Stock, (ii) 90,000,000 shares of Class B common stock, par value $0.0001 per share (“Class B Common Stock”), and (iii) 10,000,000 shares of preferred stock, par value of $0.0001 per share (“Preferred Stock”). As of May 8, 2026, the Company had outstanding 76,331,634 shares of Class A Common Stock (excluding 52,045 restricted shares of Class A Common Stock, which are outstanding, but remain subject to vesting) and no shares of Class B Common Stock or Preferred Stock.</w:t>
      </w:r>
    </w:p>
    <w:p>
      <w:pPr>
        <w:spacing w:after="0" w:line="20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3"/>
          <w:szCs w:val="13"/>
          <w:b w:val="1"/>
          <w:bCs w:val="1"/>
          <w:color w:val="auto"/>
        </w:rPr>
        <w:t>Class A Common Stock</w:t>
      </w:r>
    </w:p>
    <w:p>
      <w:pPr>
        <w:spacing w:after="0" w:line="94" w:lineRule="exact"/>
        <w:rPr>
          <w:sz w:val="20"/>
          <w:szCs w:val="20"/>
          <w:color w:val="auto"/>
        </w:rPr>
      </w:pPr>
    </w:p>
    <w:p>
      <w:pPr>
        <w:ind w:left="1540" w:right="579" w:firstLine="329"/>
        <w:spacing w:after="0" w:line="267" w:lineRule="auto"/>
        <w:rPr>
          <w:sz w:val="20"/>
          <w:szCs w:val="20"/>
          <w:color w:val="auto"/>
        </w:rPr>
      </w:pPr>
      <w:r>
        <w:rPr>
          <w:rFonts w:ascii="Times New Roman" w:cs="Times New Roman" w:eastAsia="Times New Roman" w:hAnsi="Times New Roman"/>
          <w:sz w:val="13"/>
          <w:szCs w:val="13"/>
          <w:i w:val="1"/>
          <w:iCs w:val="1"/>
          <w:color w:val="auto"/>
        </w:rPr>
        <w:t>Voting Rights</w:t>
      </w:r>
      <w:r>
        <w:rPr>
          <w:rFonts w:ascii="Times New Roman" w:cs="Times New Roman" w:eastAsia="Times New Roman" w:hAnsi="Times New Roman"/>
          <w:sz w:val="13"/>
          <w:szCs w:val="13"/>
          <w:color w:val="auto"/>
        </w:rPr>
        <w:t>. Holders of shares of Class A Common Stock are entitled to one vote for each share held of record on all matters on which</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stockholders are entitled to vote generally, except that holders of shares of Class A Common Stock have no voting power with respect to, and are not entitled to vote on, any amendment to the Amended and Restated Charter (including any certificate of designations relating to any series of Preferred Stock) that relates solely to the terms of any outstanding Preferred Stock if the holders of such Preferred Stock are entitled to vote as a separate class thereon under the Amended and Restated Charter or under the DGCL. The holders of Class A Common Stock do not have cumulative voting rights in the election of directors.</w:t>
      </w:r>
    </w:p>
    <w:p>
      <w:pPr>
        <w:spacing w:after="0" w:line="133" w:lineRule="exact"/>
        <w:rPr>
          <w:sz w:val="20"/>
          <w:szCs w:val="20"/>
          <w:color w:val="auto"/>
        </w:rPr>
      </w:pPr>
    </w:p>
    <w:p>
      <w:pPr>
        <w:ind w:left="1540" w:right="559" w:firstLine="329"/>
        <w:spacing w:after="0" w:line="278" w:lineRule="auto"/>
        <w:rPr>
          <w:sz w:val="20"/>
          <w:szCs w:val="20"/>
          <w:color w:val="auto"/>
        </w:rPr>
      </w:pPr>
      <w:r>
        <w:rPr>
          <w:rFonts w:ascii="Times New Roman" w:cs="Times New Roman" w:eastAsia="Times New Roman" w:hAnsi="Times New Roman"/>
          <w:sz w:val="13"/>
          <w:szCs w:val="13"/>
          <w:color w:val="auto"/>
        </w:rPr>
        <w:t>Holders of outstanding shares of Class A Common Stock are entitled to vote separately upon any amendment to the Amended and Restated Charter (including by merger, consolidation, conversion, reorganization or similar event) that would alter or change the powers, preferences or special rights of Class A Common Stock in a manner that is materially and disproportionately adverse as compared to the Class B Common Stock.</w:t>
      </w:r>
    </w:p>
    <w:p>
      <w:pPr>
        <w:spacing w:after="0" w:line="123" w:lineRule="exact"/>
        <w:rPr>
          <w:sz w:val="20"/>
          <w:szCs w:val="20"/>
          <w:color w:val="auto"/>
        </w:rPr>
      </w:pPr>
    </w:p>
    <w:p>
      <w:pPr>
        <w:ind w:left="1540" w:right="519" w:firstLine="329"/>
        <w:spacing w:after="0" w:line="279" w:lineRule="auto"/>
        <w:rPr>
          <w:sz w:val="20"/>
          <w:szCs w:val="20"/>
          <w:color w:val="auto"/>
        </w:rPr>
      </w:pPr>
      <w:r>
        <w:rPr>
          <w:rFonts w:ascii="Times New Roman" w:cs="Times New Roman" w:eastAsia="Times New Roman" w:hAnsi="Times New Roman"/>
          <w:sz w:val="13"/>
          <w:szCs w:val="13"/>
          <w:i w:val="1"/>
          <w:iCs w:val="1"/>
          <w:color w:val="auto"/>
        </w:rPr>
        <w:t>Dividend Rights</w:t>
      </w:r>
      <w:r>
        <w:rPr>
          <w:rFonts w:ascii="Times New Roman" w:cs="Times New Roman" w:eastAsia="Times New Roman" w:hAnsi="Times New Roman"/>
          <w:sz w:val="13"/>
          <w:szCs w:val="13"/>
          <w:color w:val="auto"/>
        </w:rPr>
        <w:t>. Holders of shares of Class A Common Stock are entitled to receive dividends when, as and if declared by the Company’s board</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of directors (the Company’s “Board”) out of funds legally available therefor, subject to any statutory or contractual restrictions on the payment of dividends and to any restrictions on the payment of dividends imposed by the terms of any outstanding Preferred Stock.</w:t>
      </w:r>
    </w:p>
    <w:p>
      <w:pPr>
        <w:spacing w:after="0" w:line="124" w:lineRule="exact"/>
        <w:rPr>
          <w:sz w:val="20"/>
          <w:szCs w:val="20"/>
          <w:color w:val="auto"/>
        </w:rPr>
      </w:pPr>
    </w:p>
    <w:p>
      <w:pPr>
        <w:jc w:val="both"/>
        <w:ind w:left="1540" w:right="499" w:firstLine="329"/>
        <w:spacing w:after="0" w:line="279" w:lineRule="auto"/>
        <w:rPr>
          <w:sz w:val="20"/>
          <w:szCs w:val="20"/>
          <w:color w:val="auto"/>
        </w:rPr>
      </w:pPr>
      <w:r>
        <w:rPr>
          <w:rFonts w:ascii="Times New Roman" w:cs="Times New Roman" w:eastAsia="Times New Roman" w:hAnsi="Times New Roman"/>
          <w:sz w:val="13"/>
          <w:szCs w:val="13"/>
          <w:i w:val="1"/>
          <w:iCs w:val="1"/>
          <w:color w:val="auto"/>
        </w:rPr>
        <w:t>Liquidation Rights</w:t>
      </w:r>
      <w:r>
        <w:rPr>
          <w:rFonts w:ascii="Times New Roman" w:cs="Times New Roman" w:eastAsia="Times New Roman" w:hAnsi="Times New Roman"/>
          <w:sz w:val="13"/>
          <w:szCs w:val="13"/>
          <w:color w:val="auto"/>
        </w:rPr>
        <w:t>. Upon its liquidation, dissolution or winding up and after payment in full of all amounts required to be paid to creditors and to</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the holders of Preferred Stock having liquidation preferences, if any, the holders of shares of Class A Common Stock will be entitled to receive pro rata the remaining assets available for distribution.</w:t>
      </w:r>
    </w:p>
    <w:p>
      <w:pPr>
        <w:spacing w:after="0" w:line="126" w:lineRule="exact"/>
        <w:rPr>
          <w:sz w:val="20"/>
          <w:szCs w:val="20"/>
          <w:color w:val="auto"/>
        </w:rPr>
      </w:pPr>
    </w:p>
    <w:p>
      <w:pPr>
        <w:ind w:left="1540" w:right="419" w:firstLine="329"/>
        <w:spacing w:after="0" w:line="268" w:lineRule="auto"/>
        <w:rPr>
          <w:sz w:val="20"/>
          <w:szCs w:val="20"/>
          <w:color w:val="auto"/>
        </w:rPr>
      </w:pPr>
      <w:r>
        <w:rPr>
          <w:rFonts w:ascii="Times New Roman" w:cs="Times New Roman" w:eastAsia="Times New Roman" w:hAnsi="Times New Roman"/>
          <w:sz w:val="13"/>
          <w:szCs w:val="13"/>
          <w:color w:val="auto"/>
        </w:rPr>
        <w:t>All outstanding shares of Class A Common Stock are fully paid and non-assessable. The Class A Common Stock is not subject to further calls or assessments by us. Holders of shares of Class A Common Stock do not have preemptive, subscription or redemption rights. There is no redemption or sinking fund provisions applicable to the Class A Common Stock. The rights, powers, preferences and privileges of Class A Common Stock are subject to those of the holders of any shares of Class B Common Stock and Preferred Stock or any other series or class of stock the Company may authorize and issue in the future.</w:t>
      </w:r>
    </w:p>
    <w:p>
      <w:pPr>
        <w:spacing w:after="0" w:line="20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3"/>
          <w:szCs w:val="13"/>
          <w:b w:val="1"/>
          <w:bCs w:val="1"/>
          <w:color w:val="auto"/>
        </w:rPr>
        <w:t>Class B Common Stock</w:t>
      </w:r>
    </w:p>
    <w:p>
      <w:pPr>
        <w:spacing w:after="0" w:line="96"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3"/>
          <w:szCs w:val="13"/>
          <w:color w:val="auto"/>
        </w:rPr>
        <w:t>No shares of Class B Common Stock are issued or outstanding.</w:t>
      </w:r>
    </w:p>
    <w:p>
      <w:pPr>
        <w:spacing w:after="0" w:line="12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10</w:t>
      </w:r>
    </w:p>
    <w:p>
      <w:pPr>
        <w:sectPr>
          <w:pgSz w:w="11900" w:h="16838" w:orient="portrait"/>
          <w:cols w:equalWidth="0" w:num="1">
            <w:col w:w="10159"/>
          </w:cols>
          <w:pgMar w:left="300" w:top="375" w:right="1440"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05345" cy="31750"/>
                    </a:xfrm>
                    <a:prstGeom prst="rect">
                      <a:avLst/>
                    </a:prstGeom>
                    <a:noFill/>
                  </pic:spPr>
                </pic:pic>
              </a:graphicData>
            </a:graphic>
          </wp:anchor>
        </w:drawing>
        <w:t>Table of Contents</w:t>
      </w:r>
    </w:p>
    <w:p>
      <w:pPr>
        <w:spacing w:after="0" w:line="246" w:lineRule="exact"/>
        <w:rPr>
          <w:sz w:val="20"/>
          <w:szCs w:val="20"/>
          <w:color w:val="auto"/>
        </w:rPr>
      </w:pPr>
    </w:p>
    <w:p>
      <w:pPr>
        <w:ind w:left="1540" w:right="579" w:firstLine="329"/>
        <w:spacing w:after="0" w:line="267" w:lineRule="auto"/>
        <w:rPr>
          <w:sz w:val="20"/>
          <w:szCs w:val="20"/>
          <w:color w:val="auto"/>
        </w:rPr>
      </w:pPr>
      <w:r>
        <w:rPr>
          <w:rFonts w:ascii="Times New Roman" w:cs="Times New Roman" w:eastAsia="Times New Roman" w:hAnsi="Times New Roman"/>
          <w:sz w:val="13"/>
          <w:szCs w:val="13"/>
          <w:i w:val="1"/>
          <w:iCs w:val="1"/>
          <w:color w:val="auto"/>
        </w:rPr>
        <w:t>Voting Rights</w:t>
      </w:r>
      <w:r>
        <w:rPr>
          <w:rFonts w:ascii="Times New Roman" w:cs="Times New Roman" w:eastAsia="Times New Roman" w:hAnsi="Times New Roman"/>
          <w:sz w:val="13"/>
          <w:szCs w:val="13"/>
          <w:color w:val="auto"/>
        </w:rPr>
        <w:t>. Holders of shares of Class B Common Stock are entitled to one vote for each share held of record on all matters on which</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stockholders are entitled to vote generally, except that holders of shares of Class B Common Stock have no voting power with respect to, and are not entitled to vote on, any amendment to the Amended and Restated Charter (including any certificate of designations relating to any series of Preferred Stock) that relates solely to the terms of any outstanding Preferred Stock if the holders of such Preferred Stock are entitled to vote as a separate class thereon under the Amended and Restated Charter or under the DGCL. The holders of Class B Common Stock do not have cumulative voting rights in the election of directors.</w:t>
      </w:r>
    </w:p>
    <w:p>
      <w:pPr>
        <w:spacing w:after="0" w:line="133" w:lineRule="exact"/>
        <w:rPr>
          <w:sz w:val="20"/>
          <w:szCs w:val="20"/>
          <w:color w:val="auto"/>
        </w:rPr>
      </w:pPr>
    </w:p>
    <w:p>
      <w:pPr>
        <w:ind w:left="1540" w:right="559" w:firstLine="329"/>
        <w:spacing w:after="0" w:line="278" w:lineRule="auto"/>
        <w:rPr>
          <w:sz w:val="20"/>
          <w:szCs w:val="20"/>
          <w:color w:val="auto"/>
        </w:rPr>
      </w:pPr>
      <w:r>
        <w:rPr>
          <w:rFonts w:ascii="Times New Roman" w:cs="Times New Roman" w:eastAsia="Times New Roman" w:hAnsi="Times New Roman"/>
          <w:sz w:val="13"/>
          <w:szCs w:val="13"/>
          <w:color w:val="auto"/>
        </w:rPr>
        <w:t>Holders of outstanding shares of Class B Common Stock are entitled to vote separately upon any amendment to the Amended and Restated Charter (including by merger, consolidation, conversion, reorganization or similar event) that would alter or change the powers, preferences or special rights of Class B Common Stock in a manner that is materially and disproportionately adverse as compared to the Class A Common Stock.</w:t>
      </w:r>
    </w:p>
    <w:p>
      <w:pPr>
        <w:spacing w:after="0" w:line="125" w:lineRule="exact"/>
        <w:rPr>
          <w:sz w:val="20"/>
          <w:szCs w:val="20"/>
          <w:color w:val="auto"/>
        </w:rPr>
      </w:pPr>
    </w:p>
    <w:p>
      <w:pPr>
        <w:ind w:left="1540" w:right="479" w:firstLine="329"/>
        <w:spacing w:after="0" w:line="271" w:lineRule="auto"/>
        <w:rPr>
          <w:sz w:val="20"/>
          <w:szCs w:val="20"/>
          <w:color w:val="auto"/>
        </w:rPr>
      </w:pPr>
      <w:r>
        <w:rPr>
          <w:rFonts w:ascii="Times New Roman" w:cs="Times New Roman" w:eastAsia="Times New Roman" w:hAnsi="Times New Roman"/>
          <w:sz w:val="13"/>
          <w:szCs w:val="13"/>
          <w:color w:val="auto"/>
        </w:rPr>
        <w:t>Holders of outstanding shares of Class B Common Stock are entitled to vote separately upon any (A) merger, consolidation, conversion, reorganization or similar event in connection with any transaction or series of transactions intended to result in the Company no longer being structured as an umbrella partnership C corporation (an “Up-C Reorganization Transaction”) or (B) amendment to the Amended and Restated Charter (including by merger, consolidation, conversion, reorganization or similar event) to effect an Up-C Reorganization Transaction.</w:t>
      </w:r>
    </w:p>
    <w:p>
      <w:pPr>
        <w:spacing w:after="0" w:line="131" w:lineRule="exact"/>
        <w:rPr>
          <w:sz w:val="20"/>
          <w:szCs w:val="20"/>
          <w:color w:val="auto"/>
        </w:rPr>
      </w:pPr>
    </w:p>
    <w:p>
      <w:pPr>
        <w:ind w:left="1540" w:right="679" w:firstLine="329"/>
        <w:spacing w:after="0" w:line="278" w:lineRule="auto"/>
        <w:rPr>
          <w:sz w:val="20"/>
          <w:szCs w:val="20"/>
          <w:color w:val="auto"/>
        </w:rPr>
      </w:pPr>
      <w:r>
        <w:rPr>
          <w:rFonts w:ascii="Times New Roman" w:cs="Times New Roman" w:eastAsia="Times New Roman" w:hAnsi="Times New Roman"/>
          <w:sz w:val="13"/>
          <w:szCs w:val="13"/>
          <w:color w:val="auto"/>
        </w:rPr>
        <w:t>Holders of the Shares vote together as a single class on all matters (or, if any holders of Preferred Stock are entitled to vote together with the holders of the Shares, as a single class with the holders of Preferred Stock) except as otherwise required in the Amended and Restated Charter or by applicable law.</w:t>
      </w:r>
    </w:p>
    <w:p>
      <w:pPr>
        <w:spacing w:after="0" w:line="123" w:lineRule="exact"/>
        <w:rPr>
          <w:sz w:val="20"/>
          <w:szCs w:val="20"/>
          <w:color w:val="auto"/>
        </w:rPr>
      </w:pPr>
    </w:p>
    <w:p>
      <w:pPr>
        <w:ind w:left="1540" w:right="419" w:firstLine="329"/>
        <w:spacing w:after="0" w:line="272" w:lineRule="auto"/>
        <w:rPr>
          <w:sz w:val="20"/>
          <w:szCs w:val="20"/>
          <w:color w:val="auto"/>
        </w:rPr>
      </w:pPr>
      <w:r>
        <w:rPr>
          <w:rFonts w:ascii="Times New Roman" w:cs="Times New Roman" w:eastAsia="Times New Roman" w:hAnsi="Times New Roman"/>
          <w:sz w:val="13"/>
          <w:szCs w:val="13"/>
          <w:i w:val="1"/>
          <w:iCs w:val="1"/>
          <w:color w:val="auto"/>
        </w:rPr>
        <w:t>Dividend Rights</w:t>
      </w:r>
      <w:r>
        <w:rPr>
          <w:rFonts w:ascii="Times New Roman" w:cs="Times New Roman" w:eastAsia="Times New Roman" w:hAnsi="Times New Roman"/>
          <w:sz w:val="13"/>
          <w:szCs w:val="13"/>
          <w:color w:val="auto"/>
        </w:rPr>
        <w:t>. Holders of Class B Common Stock do not have any right to receive dividends. In no event will any dividend be declared or made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on any Shares unless (1) a corresponding dividend for all other Shares not so adjusted at the time outstanding is made in the same proportion and the same manner and (2) the dividend has been reflected in the same economically equivalent manner on all Shares. Dividends with respect to Shares may only be paid with shares of stock of the same class of common stock.</w:t>
      </w:r>
    </w:p>
    <w:p>
      <w:pPr>
        <w:spacing w:after="0" w:line="129" w:lineRule="exact"/>
        <w:rPr>
          <w:sz w:val="20"/>
          <w:szCs w:val="20"/>
          <w:color w:val="auto"/>
        </w:rPr>
      </w:pPr>
    </w:p>
    <w:p>
      <w:pPr>
        <w:ind w:left="1540" w:right="499" w:firstLine="329"/>
        <w:spacing w:after="0" w:line="300" w:lineRule="auto"/>
        <w:rPr>
          <w:sz w:val="20"/>
          <w:szCs w:val="20"/>
          <w:color w:val="auto"/>
        </w:rPr>
      </w:pPr>
      <w:r>
        <w:rPr>
          <w:rFonts w:ascii="Times New Roman" w:cs="Times New Roman" w:eastAsia="Times New Roman" w:hAnsi="Times New Roman"/>
          <w:sz w:val="13"/>
          <w:szCs w:val="13"/>
          <w:i w:val="1"/>
          <w:iCs w:val="1"/>
          <w:color w:val="auto"/>
        </w:rPr>
        <w:t>Liquidation Rights</w:t>
      </w:r>
      <w:r>
        <w:rPr>
          <w:rFonts w:ascii="Times New Roman" w:cs="Times New Roman" w:eastAsia="Times New Roman" w:hAnsi="Times New Roman"/>
          <w:sz w:val="13"/>
          <w:szCs w:val="13"/>
          <w:color w:val="auto"/>
        </w:rPr>
        <w:t>. Holders of Class B Common Stock do not have any right to receive a distribution upon liquidation, dissolution or winding up</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of the Company.</w:t>
      </w:r>
    </w:p>
    <w:p>
      <w:pPr>
        <w:spacing w:after="0" w:line="110" w:lineRule="exact"/>
        <w:rPr>
          <w:sz w:val="20"/>
          <w:szCs w:val="20"/>
          <w:color w:val="auto"/>
        </w:rPr>
      </w:pPr>
    </w:p>
    <w:p>
      <w:pPr>
        <w:ind w:left="1540" w:right="419" w:firstLine="329"/>
        <w:spacing w:after="0" w:line="269" w:lineRule="auto"/>
        <w:rPr>
          <w:sz w:val="20"/>
          <w:szCs w:val="20"/>
          <w:color w:val="auto"/>
        </w:rPr>
      </w:pPr>
      <w:r>
        <w:rPr>
          <w:rFonts w:ascii="Times New Roman" w:cs="Times New Roman" w:eastAsia="Times New Roman" w:hAnsi="Times New Roman"/>
          <w:sz w:val="13"/>
          <w:szCs w:val="13"/>
          <w:i w:val="1"/>
          <w:iCs w:val="1"/>
          <w:color w:val="auto"/>
        </w:rPr>
        <w:t>Retirement of Shares</w:t>
      </w:r>
      <w:r>
        <w:rPr>
          <w:rFonts w:ascii="Times New Roman" w:cs="Times New Roman" w:eastAsia="Times New Roman" w:hAnsi="Times New Roman"/>
          <w:sz w:val="13"/>
          <w:szCs w:val="13"/>
          <w:color w:val="auto"/>
        </w:rPr>
        <w:t>. No holder of Class B Common Stock may transfer shares of Class B Common Stock to any person unless such holder</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transfers a corresponding number of Cibus Global Common Units to the same person in accordance with the provisions of Cibus Global’s operating agreement (the “Cibus Global Amended Operating Agreement”). If any outstanding share of Class B Common Stock ceases to be held by a holder of the corresponding Cibus Global Common Unit, such share shall automatically and without further action on the part of the Company or any holder of Class B Common Stock be transferred to the Company for no consideration and retired.</w:t>
      </w:r>
    </w:p>
    <w:p>
      <w:pPr>
        <w:spacing w:after="0" w:line="130" w:lineRule="exact"/>
        <w:rPr>
          <w:sz w:val="20"/>
          <w:szCs w:val="20"/>
          <w:color w:val="auto"/>
        </w:rPr>
      </w:pPr>
    </w:p>
    <w:p>
      <w:pPr>
        <w:ind w:left="1540" w:right="439" w:firstLine="329"/>
        <w:spacing w:after="0" w:line="279" w:lineRule="auto"/>
        <w:rPr>
          <w:sz w:val="20"/>
          <w:szCs w:val="20"/>
          <w:color w:val="auto"/>
        </w:rPr>
      </w:pPr>
      <w:r>
        <w:rPr>
          <w:rFonts w:ascii="Times New Roman" w:cs="Times New Roman" w:eastAsia="Times New Roman" w:hAnsi="Times New Roman"/>
          <w:sz w:val="13"/>
          <w:szCs w:val="13"/>
          <w:i w:val="1"/>
          <w:iCs w:val="1"/>
          <w:color w:val="auto"/>
        </w:rPr>
        <w:t>Issuance of Cibus Global Common Units</w:t>
      </w:r>
      <w:r>
        <w:rPr>
          <w:rFonts w:ascii="Times New Roman" w:cs="Times New Roman" w:eastAsia="Times New Roman" w:hAnsi="Times New Roman"/>
          <w:sz w:val="13"/>
          <w:szCs w:val="13"/>
          <w:color w:val="auto"/>
        </w:rPr>
        <w:t>. To the extent common units of Cibus Global (“Cibus Global Common Units”) are issued pursuant to</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Cibus Global’s amended operating agreement to anyone other than the Company or a wholly owned subsidiary of Cibus, Inc., an equivalent number of shares of Class B Common Stock (subject to adjustment) will be issued at par to the same person to which such Cibus Global Common Units are issued.</w:t>
      </w:r>
    </w:p>
    <w:p>
      <w:pPr>
        <w:spacing w:after="0" w:line="202"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3"/>
          <w:szCs w:val="13"/>
          <w:b w:val="1"/>
          <w:bCs w:val="1"/>
          <w:color w:val="auto"/>
        </w:rPr>
        <w:t>Preferred Stock</w:t>
      </w:r>
    </w:p>
    <w:p>
      <w:pPr>
        <w:spacing w:after="0" w:line="96" w:lineRule="exact"/>
        <w:rPr>
          <w:sz w:val="20"/>
          <w:szCs w:val="20"/>
          <w:color w:val="auto"/>
        </w:rPr>
      </w:pPr>
    </w:p>
    <w:p>
      <w:pPr>
        <w:ind w:left="1540" w:right="879" w:firstLine="329"/>
        <w:spacing w:after="0" w:line="297" w:lineRule="auto"/>
        <w:rPr>
          <w:sz w:val="20"/>
          <w:szCs w:val="20"/>
          <w:color w:val="auto"/>
        </w:rPr>
      </w:pPr>
      <w:r>
        <w:rPr>
          <w:rFonts w:ascii="Times New Roman" w:cs="Times New Roman" w:eastAsia="Times New Roman" w:hAnsi="Times New Roman"/>
          <w:sz w:val="13"/>
          <w:szCs w:val="13"/>
          <w:color w:val="auto"/>
        </w:rPr>
        <w:t>No shares of Preferred Stock are issued or outstanding as of the date of this prospectus. The Amended and Restated Charter authorizes the Company’s Board to establish one or more series of Preferred Stock. The</w:t>
      </w:r>
    </w:p>
    <w:p>
      <w:pPr>
        <w:spacing w:after="0" w:line="6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11</w:t>
      </w:r>
    </w:p>
    <w:p>
      <w:pPr>
        <w:sectPr>
          <w:pgSz w:w="11900" w:h="16838" w:orient="portrait"/>
          <w:cols w:equalWidth="0" w:num="1">
            <w:col w:w="10159"/>
          </w:cols>
          <w:pgMar w:left="300" w:top="375" w:right="1440"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05345" cy="31750"/>
                    </a:xfrm>
                    <a:prstGeom prst="rect">
                      <a:avLst/>
                    </a:prstGeom>
                    <a:noFill/>
                  </pic:spPr>
                </pic:pic>
              </a:graphicData>
            </a:graphic>
          </wp:anchor>
        </w:drawing>
        <w:t>Table of Contents</w:t>
      </w:r>
    </w:p>
    <w:p>
      <w:pPr>
        <w:spacing w:after="0" w:line="248" w:lineRule="exact"/>
        <w:rPr>
          <w:sz w:val="20"/>
          <w:szCs w:val="20"/>
          <w:color w:val="auto"/>
        </w:rPr>
      </w:pPr>
    </w:p>
    <w:p>
      <w:pPr>
        <w:ind w:left="1540" w:right="559"/>
        <w:spacing w:after="0" w:line="297" w:lineRule="auto"/>
        <w:rPr>
          <w:sz w:val="20"/>
          <w:szCs w:val="20"/>
          <w:color w:val="auto"/>
        </w:rPr>
      </w:pPr>
      <w:r>
        <w:rPr>
          <w:rFonts w:ascii="Times New Roman" w:cs="Times New Roman" w:eastAsia="Times New Roman" w:hAnsi="Times New Roman"/>
          <w:sz w:val="13"/>
          <w:szCs w:val="13"/>
          <w:color w:val="auto"/>
        </w:rPr>
        <w:t>Company’s Board will be able to determine, with respect to any series of Preferred Stock, the powers (including voting powers), and the designations, preferences and relative, participating, optional or other special rights, and any qualifications, limitations or restrictions thereof.</w:t>
      </w:r>
    </w:p>
    <w:p>
      <w:pPr>
        <w:spacing w:after="0" w:line="190"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3"/>
          <w:szCs w:val="13"/>
          <w:b w:val="1"/>
          <w:bCs w:val="1"/>
          <w:color w:val="auto"/>
        </w:rPr>
        <w:t>Dividends</w:t>
      </w:r>
    </w:p>
    <w:p>
      <w:pPr>
        <w:spacing w:after="0" w:line="96" w:lineRule="exact"/>
        <w:rPr>
          <w:sz w:val="20"/>
          <w:szCs w:val="20"/>
          <w:color w:val="auto"/>
        </w:rPr>
      </w:pPr>
    </w:p>
    <w:p>
      <w:pPr>
        <w:ind w:left="1540" w:right="459" w:firstLine="329"/>
        <w:spacing w:after="0" w:line="265" w:lineRule="auto"/>
        <w:rPr>
          <w:sz w:val="20"/>
          <w:szCs w:val="20"/>
          <w:color w:val="auto"/>
        </w:rPr>
      </w:pPr>
      <w:r>
        <w:rPr>
          <w:rFonts w:ascii="Times New Roman" w:cs="Times New Roman" w:eastAsia="Times New Roman" w:hAnsi="Times New Roman"/>
          <w:sz w:val="13"/>
          <w:szCs w:val="13"/>
          <w:color w:val="auto"/>
        </w:rPr>
        <w:t>The DGCL permits a corporation to declare and pay dividends out of “surplus” or, if there is no “surplus,” out of its net profits for the fiscal year in which the dividend is declared and/or the preceding fiscal year. “Surplus” is defined as the excess of the net assets of the corporation over the amount determined to be the capital of the corporation by its board of directors. The capital of the corporation is typically calculated to be (and cannot be less than) the aggregate par value of all issued shares of capital stock. Net assets equals the fair value of the total assets minus total liabilities. The DGCL also provides that dividends may not be paid out of net profits if, after the payment of the dividend, remaining capital would be less than the capital represented by the outstanding stock of all classes having a preference upon the distribution of assets. Declaration and payment of any dividend will be subject to the discretion of the Company’s Board.</w:t>
      </w:r>
    </w:p>
    <w:p>
      <w:pPr>
        <w:spacing w:after="0" w:line="135" w:lineRule="exact"/>
        <w:rPr>
          <w:sz w:val="20"/>
          <w:szCs w:val="20"/>
          <w:color w:val="auto"/>
        </w:rPr>
      </w:pPr>
    </w:p>
    <w:p>
      <w:pPr>
        <w:ind w:left="1540" w:right="579" w:firstLine="329"/>
        <w:spacing w:after="0" w:line="271" w:lineRule="auto"/>
        <w:rPr>
          <w:sz w:val="20"/>
          <w:szCs w:val="20"/>
          <w:color w:val="auto"/>
        </w:rPr>
      </w:pPr>
      <w:r>
        <w:rPr>
          <w:rFonts w:ascii="Times New Roman" w:cs="Times New Roman" w:eastAsia="Times New Roman" w:hAnsi="Times New Roman"/>
          <w:sz w:val="13"/>
          <w:szCs w:val="13"/>
          <w:color w:val="auto"/>
        </w:rPr>
        <w:t>Cibus has no current plans to pay dividends on the Company’s Class A Common Stock. Any decision to declare and pay dividends in the future will be made at the sole discretion of the Company’s Board and will depend on, among other things, the Company’s results of operations, cash requirements, financial condition, contractual restrictions and other factors that the Company’s Board may deem relevant. Because Cibus, Inc. is a holding company and will have no direct operations, the Company may only be able to pay dividends from funds it receives from its subsidiaries.</w:t>
      </w:r>
    </w:p>
    <w:p>
      <w:pPr>
        <w:spacing w:after="0" w:line="208"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3"/>
          <w:szCs w:val="13"/>
          <w:b w:val="1"/>
          <w:bCs w:val="1"/>
          <w:color w:val="auto"/>
        </w:rPr>
        <w:t>Annual Stockholder Meetings</w:t>
      </w:r>
    </w:p>
    <w:p>
      <w:pPr>
        <w:spacing w:after="0" w:line="96" w:lineRule="exact"/>
        <w:rPr>
          <w:sz w:val="20"/>
          <w:szCs w:val="20"/>
          <w:color w:val="auto"/>
        </w:rPr>
      </w:pPr>
    </w:p>
    <w:p>
      <w:pPr>
        <w:ind w:left="1540" w:right="639" w:firstLine="329"/>
        <w:spacing w:after="0" w:line="278" w:lineRule="auto"/>
        <w:rPr>
          <w:sz w:val="20"/>
          <w:szCs w:val="20"/>
          <w:color w:val="auto"/>
        </w:rPr>
      </w:pPr>
      <w:r>
        <w:rPr>
          <w:rFonts w:ascii="Times New Roman" w:cs="Times New Roman" w:eastAsia="Times New Roman" w:hAnsi="Times New Roman"/>
          <w:sz w:val="13"/>
          <w:szCs w:val="13"/>
          <w:color w:val="auto"/>
        </w:rPr>
        <w:t>The Amended Bylaws provide that annual stockholder meetings will be held at a date, time and place, if any, as may be designated by the Company’s Board or, in the absence of a designation by the Company’s Board, by the chair, the chief executive officer or the secretary. To the extent permitted under applicable law, the Company may conduct meetings by remote communications, including by webcast.</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Anti-Takeover Effects of the Amended and Restated Charter, the Amended Bylaws and Certain Provisions of Delaware Law</w:t>
      </w:r>
    </w:p>
    <w:p>
      <w:pPr>
        <w:spacing w:after="0" w:line="96" w:lineRule="exact"/>
        <w:rPr>
          <w:sz w:val="20"/>
          <w:szCs w:val="20"/>
          <w:color w:val="auto"/>
        </w:rPr>
      </w:pPr>
    </w:p>
    <w:p>
      <w:pPr>
        <w:ind w:left="1540" w:right="459" w:firstLine="329"/>
        <w:spacing w:after="0" w:line="265" w:lineRule="auto"/>
        <w:rPr>
          <w:sz w:val="20"/>
          <w:szCs w:val="20"/>
          <w:color w:val="auto"/>
        </w:rPr>
      </w:pPr>
      <w:r>
        <w:rPr>
          <w:rFonts w:ascii="Times New Roman" w:cs="Times New Roman" w:eastAsia="Times New Roman" w:hAnsi="Times New Roman"/>
          <w:sz w:val="13"/>
          <w:szCs w:val="13"/>
          <w:color w:val="auto"/>
        </w:rPr>
        <w:t>The Amended and Restated Charter, the Amended Bylaws and certain provisions of the DGCL contain provisions, which are summarized in the following paragraphs, that are intended to enhance the likelihood of continuity and stability in the composition of the Company’s Board. These provisions are intended to avoid costly takeover battles, reduce the Company’s vulnerability to a hostile or abusive change of control and enhance the ability of the Company’s Board to maximize stockholder value in connection with any unsolicited offer to acquire the Company. However, these provisions may have an anti-takeover effect and may delay, deter or prevent a merger or acquisition of the Company by means of a tender offer, a proxy contest or other takeover attempt that a stockholder might consider in its best interest, including those attempts that might result in a premium over the prevailing market price for the Shares held by stockholders.</w:t>
      </w:r>
    </w:p>
    <w:p>
      <w:pPr>
        <w:spacing w:after="0" w:line="213"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3"/>
          <w:szCs w:val="13"/>
          <w:i w:val="1"/>
          <w:iCs w:val="1"/>
          <w:color w:val="auto"/>
        </w:rPr>
        <w:t>Authorized but Unissued Capital Stock</w:t>
      </w:r>
    </w:p>
    <w:p>
      <w:pPr>
        <w:spacing w:after="0" w:line="94" w:lineRule="exact"/>
        <w:rPr>
          <w:sz w:val="20"/>
          <w:szCs w:val="20"/>
          <w:color w:val="auto"/>
        </w:rPr>
      </w:pPr>
    </w:p>
    <w:p>
      <w:pPr>
        <w:ind w:left="1540" w:right="439" w:firstLine="329"/>
        <w:spacing w:after="0" w:line="268" w:lineRule="auto"/>
        <w:rPr>
          <w:sz w:val="20"/>
          <w:szCs w:val="20"/>
          <w:color w:val="auto"/>
        </w:rPr>
      </w:pPr>
      <w:r>
        <w:rPr>
          <w:rFonts w:ascii="Times New Roman" w:cs="Times New Roman" w:eastAsia="Times New Roman" w:hAnsi="Times New Roman"/>
          <w:sz w:val="13"/>
          <w:szCs w:val="13"/>
          <w:color w:val="auto"/>
        </w:rPr>
        <w:t>Delaware law does not require stockholder approval for any issuance of shares that are authorized and available for issuance. However, the listing requirements of Nasdaq, which apply so long as the Company’s Class A Common Stock remains listed on Nasdaq, require stockholder approval of certain issuances equal to or exceeding 20% of the then outstanding voting power of the Company’s capital stock or then outstanding number of shares of Class A Common Stock. These additional shares may be used for a variety of corporate purposes, including future public offerings, to raise additional capital or to facilitate acquisitions.</w:t>
      </w:r>
    </w:p>
    <w:p>
      <w:pPr>
        <w:spacing w:after="0" w:line="8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12</w:t>
      </w:r>
    </w:p>
    <w:p>
      <w:pPr>
        <w:sectPr>
          <w:pgSz w:w="11900" w:h="16838" w:orient="portrait"/>
          <w:cols w:equalWidth="0" w:num="1">
            <w:col w:w="10159"/>
          </w:cols>
          <w:pgMar w:left="300" w:top="375" w:right="1440"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05345" cy="31750"/>
                    </a:xfrm>
                    <a:prstGeom prst="rect">
                      <a:avLst/>
                    </a:prstGeom>
                    <a:noFill/>
                  </pic:spPr>
                </pic:pic>
              </a:graphicData>
            </a:graphic>
          </wp:anchor>
        </w:drawing>
        <w:t>Table of Contents</w:t>
      </w:r>
    </w:p>
    <w:p>
      <w:pPr>
        <w:spacing w:after="0" w:line="248" w:lineRule="exact"/>
        <w:rPr>
          <w:sz w:val="20"/>
          <w:szCs w:val="20"/>
          <w:color w:val="auto"/>
        </w:rPr>
      </w:pPr>
    </w:p>
    <w:p>
      <w:pPr>
        <w:ind w:left="1540" w:right="479" w:firstLine="329"/>
        <w:spacing w:after="0" w:line="271" w:lineRule="auto"/>
        <w:rPr>
          <w:sz w:val="20"/>
          <w:szCs w:val="20"/>
          <w:color w:val="auto"/>
        </w:rPr>
      </w:pPr>
      <w:r>
        <w:rPr>
          <w:rFonts w:ascii="Times New Roman" w:cs="Times New Roman" w:eastAsia="Times New Roman" w:hAnsi="Times New Roman"/>
          <w:sz w:val="13"/>
          <w:szCs w:val="13"/>
          <w:color w:val="auto"/>
        </w:rPr>
        <w:t>The Company’s Board will be authorized to generally issue shares of one or more series of Preferred Stock on terms calculated to discourage, delay or prevent a change of control of the Company or the removal of the Company’s management. Moreover, the Company’s authorized but unissued shares of Preferred Stock will be available for future issuances in one or more series without stockholder approval and could be utilized for a variety of corporate purposes, including future offerings to raise additional capital, to facilitate acquisitions and employee benefit plans.</w:t>
      </w:r>
    </w:p>
    <w:p>
      <w:pPr>
        <w:spacing w:after="0" w:line="131" w:lineRule="exact"/>
        <w:rPr>
          <w:sz w:val="20"/>
          <w:szCs w:val="20"/>
          <w:color w:val="auto"/>
        </w:rPr>
      </w:pPr>
    </w:p>
    <w:p>
      <w:pPr>
        <w:ind w:left="1540" w:right="659" w:firstLine="329"/>
        <w:spacing w:after="0" w:line="268" w:lineRule="auto"/>
        <w:rPr>
          <w:sz w:val="20"/>
          <w:szCs w:val="20"/>
          <w:color w:val="auto"/>
        </w:rPr>
      </w:pPr>
      <w:r>
        <w:rPr>
          <w:rFonts w:ascii="Times New Roman" w:cs="Times New Roman" w:eastAsia="Times New Roman" w:hAnsi="Times New Roman"/>
          <w:sz w:val="13"/>
          <w:szCs w:val="13"/>
          <w:color w:val="auto"/>
        </w:rPr>
        <w:t>One of the effects of the existence of authorized and unissued and unreserved Class A Common Stock or Preferred Stock may be to enable the Company’s Board to issue shares to persons friendly to current management, which issuance could render more difficult or discourage an attempt to obtain control the Company by means of a merger, tender offer, proxy contest or otherwise, and thereby protect the continuity of the Company’s management and possibly deprive the Company’s stockholders of opportunities to sell their shares of Class A Common Stock at prices higher than prevailing market prices.</w:t>
      </w:r>
    </w:p>
    <w:p>
      <w:pPr>
        <w:spacing w:after="0" w:line="211"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3"/>
          <w:szCs w:val="13"/>
          <w:i w:val="1"/>
          <w:iCs w:val="1"/>
          <w:color w:val="auto"/>
        </w:rPr>
        <w:t>Vacancies and Newly Created Directorships</w:t>
      </w:r>
    </w:p>
    <w:p>
      <w:pPr>
        <w:spacing w:after="0" w:line="94" w:lineRule="exact"/>
        <w:rPr>
          <w:sz w:val="20"/>
          <w:szCs w:val="20"/>
          <w:color w:val="auto"/>
        </w:rPr>
      </w:pPr>
    </w:p>
    <w:p>
      <w:pPr>
        <w:ind w:left="1540" w:right="499" w:firstLine="329"/>
        <w:spacing w:after="0" w:line="268" w:lineRule="auto"/>
        <w:rPr>
          <w:sz w:val="20"/>
          <w:szCs w:val="20"/>
          <w:color w:val="auto"/>
        </w:rPr>
      </w:pPr>
      <w:r>
        <w:rPr>
          <w:rFonts w:ascii="Times New Roman" w:cs="Times New Roman" w:eastAsia="Times New Roman" w:hAnsi="Times New Roman"/>
          <w:sz w:val="13"/>
          <w:szCs w:val="13"/>
          <w:color w:val="auto"/>
        </w:rPr>
        <w:t>The Amended and Restated Charter and the Amended Bylaws provide that any vacancies on the Company’s Board, and any newly created directorships, will be filled only by the affirmative vote of a majority of the remaining directors then in office, even if less than a quorum, and any director so chosen will hold office until the earlier expiration of the term of office of the director whom he or she has replaced or his or her successor shall be duly elected and qualified or until such director’s earlier death, disqualification, resignation or removal. No decrease in the number of directors shall shorten the term of any director then in office.</w:t>
      </w:r>
    </w:p>
    <w:p>
      <w:pPr>
        <w:spacing w:after="0" w:line="211"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3"/>
          <w:szCs w:val="13"/>
          <w:i w:val="1"/>
          <w:iCs w:val="1"/>
          <w:color w:val="auto"/>
        </w:rPr>
        <w:t>No Cumulative Voting</w:t>
      </w:r>
    </w:p>
    <w:p>
      <w:pPr>
        <w:spacing w:after="0" w:line="94" w:lineRule="exact"/>
        <w:rPr>
          <w:sz w:val="20"/>
          <w:szCs w:val="20"/>
          <w:color w:val="auto"/>
        </w:rPr>
      </w:pPr>
    </w:p>
    <w:p>
      <w:pPr>
        <w:jc w:val="both"/>
        <w:ind w:left="1540" w:right="439" w:firstLine="329"/>
        <w:spacing w:after="0" w:line="278" w:lineRule="auto"/>
        <w:rPr>
          <w:sz w:val="20"/>
          <w:szCs w:val="20"/>
          <w:color w:val="auto"/>
        </w:rPr>
      </w:pPr>
      <w:r>
        <w:rPr>
          <w:rFonts w:ascii="Times New Roman" w:cs="Times New Roman" w:eastAsia="Times New Roman" w:hAnsi="Times New Roman"/>
          <w:sz w:val="13"/>
          <w:szCs w:val="13"/>
          <w:color w:val="auto"/>
        </w:rPr>
        <w:t>Under Delaware law, the right to vote cumulatively does not exist unless the certificate of incorporation specifically authorizes cumulative voting. The Amended and Restated Charter does not authorize cumulative voting. Therefore, stockholders holding a majority in voting power of the Company’s stock entitled to vote generally in the election of directors will be able to elect all directors.</w:t>
      </w:r>
    </w:p>
    <w:p>
      <w:pPr>
        <w:spacing w:after="0" w:line="204"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3"/>
          <w:szCs w:val="13"/>
          <w:i w:val="1"/>
          <w:iCs w:val="1"/>
          <w:color w:val="auto"/>
        </w:rPr>
        <w:t>Special Stockholder Meetings</w:t>
      </w:r>
    </w:p>
    <w:p>
      <w:pPr>
        <w:spacing w:after="0" w:line="94" w:lineRule="exact"/>
        <w:rPr>
          <w:sz w:val="20"/>
          <w:szCs w:val="20"/>
          <w:color w:val="auto"/>
        </w:rPr>
      </w:pPr>
    </w:p>
    <w:p>
      <w:pPr>
        <w:ind w:left="1540" w:right="439" w:firstLine="329"/>
        <w:spacing w:after="0" w:line="268" w:lineRule="auto"/>
        <w:rPr>
          <w:sz w:val="20"/>
          <w:szCs w:val="20"/>
          <w:color w:val="auto"/>
        </w:rPr>
      </w:pPr>
      <w:r>
        <w:rPr>
          <w:rFonts w:ascii="Times New Roman" w:cs="Times New Roman" w:eastAsia="Times New Roman" w:hAnsi="Times New Roman"/>
          <w:sz w:val="13"/>
          <w:szCs w:val="13"/>
          <w:color w:val="auto"/>
        </w:rPr>
        <w:t>The Amended and Restated Charter and the Amended Bylaws provide that special meetings of stockholders may be called only by the chair of the Company’s Board, the Company’s chief executive officer or at the direction of the Company’s Board pursuant to a written resolution adopted by a majority of the total number of directors that Cibus would have if there were no vacancies. Any business transacted at a special meeting of stockholders will be limited to matters set forth in the notice of the special meeting. These provisions may have the effect of deterring, delaying or discouraging hostile takeovers, or changes in control or the Company’s management.</w:t>
      </w:r>
    </w:p>
    <w:p>
      <w:pPr>
        <w:spacing w:after="0" w:line="211"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3"/>
          <w:szCs w:val="13"/>
          <w:i w:val="1"/>
          <w:iCs w:val="1"/>
          <w:color w:val="auto"/>
        </w:rPr>
        <w:t>Director Nominations and Stockholder Proposals</w:t>
      </w:r>
    </w:p>
    <w:p>
      <w:pPr>
        <w:spacing w:after="0" w:line="94" w:lineRule="exact"/>
        <w:rPr>
          <w:sz w:val="20"/>
          <w:szCs w:val="20"/>
          <w:color w:val="auto"/>
        </w:rPr>
      </w:pPr>
    </w:p>
    <w:p>
      <w:pPr>
        <w:ind w:left="1540" w:right="539" w:firstLine="329"/>
        <w:spacing w:after="0" w:line="264" w:lineRule="auto"/>
        <w:rPr>
          <w:sz w:val="20"/>
          <w:szCs w:val="20"/>
          <w:color w:val="auto"/>
        </w:rPr>
      </w:pPr>
      <w:r>
        <w:rPr>
          <w:rFonts w:ascii="Times New Roman" w:cs="Times New Roman" w:eastAsia="Times New Roman" w:hAnsi="Times New Roman"/>
          <w:sz w:val="13"/>
          <w:szCs w:val="13"/>
          <w:color w:val="auto"/>
        </w:rPr>
        <w:t>The Amended Bylaws establish advance notice procedures with respect to stockholder nominations for the election as directors. In order for any matter to be “properly brought” before a meeting, a stockholder will have to comply with advance notice requirements and provide the Company with certain information. Generally, to be timely, a stockholder’s notice must be received at the Company’s principal executive offices not less than 90 days nor more than 120 days prior to the first anniversary date of the immediately preceding annual meeting of stockholders. The Amended Bylaws also specify requirements as to the form and content of a stockholder’s notice. The Amended Bylaws allow the chair of the meeting at a meeting of the stockholders to adopt rules and regulations for the conduct of meetings which may have the effect of precluding the conduct of certain business at a meeting if the rules and regulations are not followed. These provisions may also defer, delay or discourage a potential acquirer from conducting a solicitation of proxies to elect the acquirer’s own slate of directors or otherwise attempting to influence or obtain control of the Company.</w:t>
      </w:r>
    </w:p>
    <w:p>
      <w:pPr>
        <w:spacing w:after="0" w:line="8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13</w:t>
      </w:r>
    </w:p>
    <w:p>
      <w:pPr>
        <w:sectPr>
          <w:pgSz w:w="11900" w:h="16838" w:orient="portrait"/>
          <w:cols w:equalWidth="0" w:num="1">
            <w:col w:w="10159"/>
          </w:cols>
          <w:pgMar w:left="300" w:top="375" w:right="1440"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05345" cy="31750"/>
                    </a:xfrm>
                    <a:prstGeom prst="rect">
                      <a:avLst/>
                    </a:prstGeom>
                    <a:noFill/>
                  </pic:spPr>
                </pic:pic>
              </a:graphicData>
            </a:graphic>
          </wp:anchor>
        </w:drawing>
        <w:t>Table of Contents</w:t>
      </w:r>
    </w:p>
    <w:p>
      <w:pPr>
        <w:spacing w:after="0" w:line="246"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3"/>
          <w:szCs w:val="13"/>
          <w:i w:val="1"/>
          <w:iCs w:val="1"/>
          <w:color w:val="auto"/>
        </w:rPr>
        <w:t>Stockholder Action by Written Consent</w:t>
      </w:r>
    </w:p>
    <w:p>
      <w:pPr>
        <w:spacing w:after="0" w:line="94" w:lineRule="exact"/>
        <w:rPr>
          <w:sz w:val="20"/>
          <w:szCs w:val="20"/>
          <w:color w:val="auto"/>
        </w:rPr>
      </w:pPr>
    </w:p>
    <w:p>
      <w:pPr>
        <w:ind w:left="1540" w:right="439" w:firstLine="329"/>
        <w:spacing w:after="0" w:line="264" w:lineRule="auto"/>
        <w:rPr>
          <w:sz w:val="20"/>
          <w:szCs w:val="20"/>
          <w:color w:val="auto"/>
        </w:rPr>
      </w:pPr>
      <w:r>
        <w:rPr>
          <w:rFonts w:ascii="Times New Roman" w:cs="Times New Roman" w:eastAsia="Times New Roman" w:hAnsi="Times New Roman"/>
          <w:sz w:val="13"/>
          <w:szCs w:val="13"/>
          <w:color w:val="auto"/>
        </w:rPr>
        <w:t>Pursuant to Section 228 of the DGCL, any action required to be taken at any annual or special meeting of the stockholders may be taken without a meeting, without prior notice and without a vote if a consent or consents in writing, setting forth the action so taken, is or are signed by the holders of outstanding stock having not less than the minimum number of votes that would be necessary to authorize or take such action at a meeting at which all shares of stock entitled to vote thereon were present and voted, unless the certificate of incorporation provides otherwise. The Company’s Amended and Restated Charter precludes stockholder action by written consent; provided, however, that any action required or permitted to be taken by the holders of Class B Common Stock, voting separately as a class, may be effected by the consent in writing of the holders of a majority of the total voting power of the Class B Common Stock entitled to vote thereon, voting together as a single class in lieu of a duly called annual or special meeting of holders of Class B Common Stock.</w:t>
      </w:r>
    </w:p>
    <w:p>
      <w:pPr>
        <w:spacing w:after="0" w:line="136" w:lineRule="exact"/>
        <w:rPr>
          <w:sz w:val="20"/>
          <w:szCs w:val="20"/>
          <w:color w:val="auto"/>
        </w:rPr>
      </w:pPr>
    </w:p>
    <w:p>
      <w:pPr>
        <w:ind w:left="1540" w:right="419" w:firstLine="329"/>
        <w:spacing w:after="0" w:line="264" w:lineRule="auto"/>
        <w:rPr>
          <w:sz w:val="20"/>
          <w:szCs w:val="20"/>
          <w:color w:val="auto"/>
        </w:rPr>
      </w:pPr>
      <w:r>
        <w:rPr>
          <w:rFonts w:ascii="Times New Roman" w:cs="Times New Roman" w:eastAsia="Times New Roman" w:hAnsi="Times New Roman"/>
          <w:sz w:val="13"/>
          <w:szCs w:val="13"/>
          <w:color w:val="auto"/>
        </w:rPr>
        <w:t>These provisions may have the effect of deterring hostile takeovers or delaying or preventing changes in control of the Company or its management, such as a merger, reorganization or tender offer. These provisions are intended to enhance the likelihood of continued stability in the composition of the Company’s Board and its policies and to discourage certain types of transactions that may involve an actual or threatened acquisition of the Company’s Board. These provisions are designed to reduce the Company’s vulnerability to an unsolicited acquisition proposal. The provisions are also intended to discourage certain tactics that may be used in proxy fights. However, such provisions could have the effect of discouraging others from making tender offers for the Class A Common Stock and, as a consequence, they also may inhibit fluctuations in the market price of the Class A Common Stock that could result from actual or rumored takeover attempts. Such provisions may also have the effect of preventing changes in management.</w:t>
      </w:r>
    </w:p>
    <w:p>
      <w:pPr>
        <w:spacing w:after="0" w:line="37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3"/>
          <w:szCs w:val="13"/>
          <w:b w:val="1"/>
          <w:bCs w:val="1"/>
          <w:color w:val="auto"/>
        </w:rPr>
        <w:t>DGCL Section 203</w:t>
      </w:r>
    </w:p>
    <w:p>
      <w:pPr>
        <w:spacing w:after="0" w:line="96" w:lineRule="exact"/>
        <w:rPr>
          <w:sz w:val="20"/>
          <w:szCs w:val="20"/>
          <w:color w:val="auto"/>
        </w:rPr>
      </w:pPr>
    </w:p>
    <w:p>
      <w:pPr>
        <w:ind w:left="1540" w:right="459" w:firstLine="329"/>
        <w:spacing w:after="0" w:line="278" w:lineRule="auto"/>
        <w:rPr>
          <w:sz w:val="20"/>
          <w:szCs w:val="20"/>
          <w:color w:val="auto"/>
        </w:rPr>
      </w:pPr>
      <w:r>
        <w:rPr>
          <w:rFonts w:ascii="Times New Roman" w:cs="Times New Roman" w:eastAsia="Times New Roman" w:hAnsi="Times New Roman"/>
          <w:sz w:val="13"/>
          <w:szCs w:val="13"/>
          <w:color w:val="auto"/>
        </w:rPr>
        <w:t>The Company is subject to the provisions of Section 203 of the DGCL regulating corporate takeovers. In general, those provisions prohibit a Delaware corporation, including those whose securities are listed for trading on Nasdaq, from engaging in any business combination with any interested stockholder for a period of three years following the date that the stockholder became an interested stockholder, unless:</w:t>
      </w:r>
    </w:p>
    <w:p>
      <w:pPr>
        <w:spacing w:after="0" w:line="55" w:lineRule="exact"/>
        <w:rPr>
          <w:sz w:val="20"/>
          <w:szCs w:val="20"/>
          <w:color w:val="auto"/>
        </w:rPr>
      </w:pPr>
    </w:p>
    <w:p>
      <w:pPr>
        <w:ind w:left="2260" w:hanging="325"/>
        <w:spacing w:after="0"/>
        <w:tabs>
          <w:tab w:leader="none" w:pos="226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transaction is approved by the board of directors before the date the interested stockholder attained that status;</w:t>
      </w:r>
    </w:p>
    <w:p>
      <w:pPr>
        <w:spacing w:after="0" w:line="102" w:lineRule="exact"/>
        <w:rPr>
          <w:rFonts w:ascii="Times New Roman" w:cs="Times New Roman" w:eastAsia="Times New Roman" w:hAnsi="Times New Roman"/>
          <w:sz w:val="13"/>
          <w:szCs w:val="13"/>
          <w:color w:val="auto"/>
        </w:rPr>
      </w:pPr>
    </w:p>
    <w:p>
      <w:pPr>
        <w:ind w:left="2260" w:right="779" w:hanging="325"/>
        <w:spacing w:after="0" w:line="297" w:lineRule="auto"/>
        <w:tabs>
          <w:tab w:leader="none" w:pos="226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upon consummation of the transaction that resulted in the stockholder becoming an interested stockholder, the interested stockholder owned at least 85% of the voting stock of the corporation outstanding at the time the transaction commenced; or</w:t>
      </w:r>
    </w:p>
    <w:p>
      <w:pPr>
        <w:spacing w:after="0" w:line="43" w:lineRule="exact"/>
        <w:rPr>
          <w:rFonts w:ascii="Times New Roman" w:cs="Times New Roman" w:eastAsia="Times New Roman" w:hAnsi="Times New Roman"/>
          <w:sz w:val="13"/>
          <w:szCs w:val="13"/>
          <w:color w:val="auto"/>
        </w:rPr>
      </w:pPr>
    </w:p>
    <w:p>
      <w:pPr>
        <w:ind w:left="2260" w:right="439" w:hanging="325"/>
        <w:spacing w:after="0" w:line="297" w:lineRule="auto"/>
        <w:tabs>
          <w:tab w:leader="none" w:pos="226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on or after such time the business combination is approved by the board of directors and authorized at a meeting of stockholders by at least two-thirds of the outstanding voting stock that is not owned by the interested stockholder.</w:t>
      </w:r>
    </w:p>
    <w:p>
      <w:pPr>
        <w:spacing w:after="0" w:line="190"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3"/>
          <w:szCs w:val="13"/>
          <w:b w:val="1"/>
          <w:bCs w:val="1"/>
          <w:color w:val="auto"/>
        </w:rPr>
        <w:t>Dissenters’ Rights of Appraisal and Payment</w:t>
      </w:r>
    </w:p>
    <w:p>
      <w:pPr>
        <w:spacing w:after="0" w:line="96" w:lineRule="exact"/>
        <w:rPr>
          <w:sz w:val="20"/>
          <w:szCs w:val="20"/>
          <w:color w:val="auto"/>
        </w:rPr>
      </w:pPr>
    </w:p>
    <w:p>
      <w:pPr>
        <w:ind w:left="1540" w:right="639" w:firstLine="329"/>
        <w:spacing w:after="0" w:line="268" w:lineRule="auto"/>
        <w:rPr>
          <w:sz w:val="20"/>
          <w:szCs w:val="20"/>
          <w:color w:val="auto"/>
        </w:rPr>
      </w:pPr>
      <w:r>
        <w:rPr>
          <w:rFonts w:ascii="Times New Roman" w:cs="Times New Roman" w:eastAsia="Times New Roman" w:hAnsi="Times New Roman"/>
          <w:sz w:val="13"/>
          <w:szCs w:val="13"/>
          <w:color w:val="auto"/>
        </w:rPr>
        <w:t>Under the DGCL, with certain exceptions, including the circumstances where the Shares are, at the effective date of a merger or consolidation, either listed on a national securities exchange or held of record by more than 2,000 holders, the Company’s stockholders will have appraisal rights in connection with a merger or consolidation the Company. Pursuant to the DGCL, stockholders who properly request and perfect appraisal rights in connection with such merger or consolidation will have the right to receive payment of the fair value of their shares as determined by the Delaware Court of Chancery.</w:t>
      </w:r>
    </w:p>
    <w:p>
      <w:pPr>
        <w:spacing w:after="0" w:line="20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3"/>
          <w:szCs w:val="13"/>
          <w:b w:val="1"/>
          <w:bCs w:val="1"/>
          <w:color w:val="auto"/>
        </w:rPr>
        <w:t>Stockholders’ Derivative Actions</w:t>
      </w:r>
    </w:p>
    <w:p>
      <w:pPr>
        <w:spacing w:after="0" w:line="96" w:lineRule="exact"/>
        <w:rPr>
          <w:sz w:val="20"/>
          <w:szCs w:val="20"/>
          <w:color w:val="auto"/>
        </w:rPr>
      </w:pPr>
    </w:p>
    <w:p>
      <w:pPr>
        <w:ind w:left="1540" w:right="459" w:firstLine="329"/>
        <w:spacing w:after="0" w:line="297" w:lineRule="auto"/>
        <w:rPr>
          <w:sz w:val="20"/>
          <w:szCs w:val="20"/>
          <w:color w:val="auto"/>
        </w:rPr>
      </w:pPr>
      <w:r>
        <w:rPr>
          <w:rFonts w:ascii="Times New Roman" w:cs="Times New Roman" w:eastAsia="Times New Roman" w:hAnsi="Times New Roman"/>
          <w:sz w:val="13"/>
          <w:szCs w:val="13"/>
          <w:color w:val="auto"/>
        </w:rPr>
        <w:t>Under the DGCL, any of the Company’s stockholders may bring an action in the Company’s name to procure a judgment in the Company’s favor, also known as a derivative action, provided that the stockholder</w:t>
      </w:r>
    </w:p>
    <w:p>
      <w:pPr>
        <w:spacing w:after="0" w:line="6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14</w:t>
      </w:r>
    </w:p>
    <w:p>
      <w:pPr>
        <w:sectPr>
          <w:pgSz w:w="11900" w:h="16838" w:orient="portrait"/>
          <w:cols w:equalWidth="0" w:num="1">
            <w:col w:w="10159"/>
          </w:cols>
          <w:pgMar w:left="300" w:top="375" w:right="1440"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05345" cy="31750"/>
                    </a:xfrm>
                    <a:prstGeom prst="rect">
                      <a:avLst/>
                    </a:prstGeom>
                    <a:noFill/>
                  </pic:spPr>
                </pic:pic>
              </a:graphicData>
            </a:graphic>
          </wp:anchor>
        </w:drawing>
        <w:t>Table of Contents</w:t>
      </w:r>
    </w:p>
    <w:p>
      <w:pPr>
        <w:spacing w:after="0" w:line="248" w:lineRule="exact"/>
        <w:rPr>
          <w:sz w:val="20"/>
          <w:szCs w:val="20"/>
          <w:color w:val="auto"/>
        </w:rPr>
      </w:pPr>
    </w:p>
    <w:p>
      <w:pPr>
        <w:ind w:left="1540" w:right="739"/>
        <w:spacing w:after="0" w:line="297" w:lineRule="auto"/>
        <w:rPr>
          <w:sz w:val="20"/>
          <w:szCs w:val="20"/>
          <w:color w:val="auto"/>
        </w:rPr>
      </w:pPr>
      <w:r>
        <w:rPr>
          <w:rFonts w:ascii="Times New Roman" w:cs="Times New Roman" w:eastAsia="Times New Roman" w:hAnsi="Times New Roman"/>
          <w:sz w:val="13"/>
          <w:szCs w:val="13"/>
          <w:color w:val="auto"/>
        </w:rPr>
        <w:t>bringing the action is a holder of Shares at the time of the transaction to which the action relates or such stockholder’s stock thereafter devolved by operation of law.</w:t>
      </w:r>
    </w:p>
    <w:p>
      <w:pPr>
        <w:spacing w:after="0" w:line="190"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3"/>
          <w:szCs w:val="13"/>
          <w:b w:val="1"/>
          <w:bCs w:val="1"/>
          <w:color w:val="auto"/>
        </w:rPr>
        <w:t>Exclusive Forum</w:t>
      </w:r>
    </w:p>
    <w:p>
      <w:pPr>
        <w:spacing w:after="0" w:line="96" w:lineRule="exact"/>
        <w:rPr>
          <w:sz w:val="20"/>
          <w:szCs w:val="20"/>
          <w:color w:val="auto"/>
        </w:rPr>
      </w:pPr>
    </w:p>
    <w:p>
      <w:pPr>
        <w:ind w:left="1540" w:right="439" w:firstLine="329"/>
        <w:spacing w:after="0" w:line="263" w:lineRule="auto"/>
        <w:rPr>
          <w:sz w:val="20"/>
          <w:szCs w:val="20"/>
          <w:color w:val="auto"/>
        </w:rPr>
      </w:pPr>
      <w:r>
        <w:rPr>
          <w:rFonts w:ascii="Times New Roman" w:cs="Times New Roman" w:eastAsia="Times New Roman" w:hAnsi="Times New Roman"/>
          <w:sz w:val="13"/>
          <w:szCs w:val="13"/>
          <w:color w:val="auto"/>
        </w:rPr>
        <w:t>The Amended and Restated Charter provides that unless the Company consents in writing to the selection of an alternative forum, the Court of Chancery in the State of Delaware (or, if the Court of Chancery does not have jurisdiction, the federal district court for the District of Delaware) shall be the sole and exclusive forum for any (i) derivative action or proceeding brought on the Company’s behalf, (ii) action asserting a claim of breach of a fiduciary duty owed by any of the Company’s directors, officers or other employees to it or its stockholders, (iii) action asserting a claim arising pursuant to any provision of the DGCL or the Amended and Restated Charter or Amended Bylaws, or (iv) action asserting a claim governed by the internal affairs doctrine. This provision does not apply to any actions arising under the Securities Act. Any person or entity purchasing or otherwise acquiring or holding any interest in any of the Company’s securities shall be deemed to have notice of and consented to the forum provisions in the Amended and Restated Charter. However, the enforceability of similar forum provisions in other companies’ certificates of incorporation has been challenged in legal proceedings, and it is possible that a court could find these types of provisions to be unenforceable.</w:t>
      </w:r>
    </w:p>
    <w:p>
      <w:pPr>
        <w:spacing w:after="0" w:line="215"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3"/>
          <w:szCs w:val="13"/>
          <w:b w:val="1"/>
          <w:bCs w:val="1"/>
          <w:color w:val="auto"/>
        </w:rPr>
        <w:t>Limitations on Liability and Indemnification of Officers and Directors</w:t>
      </w:r>
    </w:p>
    <w:p>
      <w:pPr>
        <w:spacing w:after="0" w:line="96" w:lineRule="exact"/>
        <w:rPr>
          <w:sz w:val="20"/>
          <w:szCs w:val="20"/>
          <w:color w:val="auto"/>
        </w:rPr>
      </w:pPr>
    </w:p>
    <w:p>
      <w:pPr>
        <w:ind w:left="1540" w:right="459" w:firstLine="329"/>
        <w:spacing w:after="0" w:line="264" w:lineRule="auto"/>
        <w:rPr>
          <w:sz w:val="20"/>
          <w:szCs w:val="20"/>
          <w:color w:val="auto"/>
        </w:rPr>
      </w:pPr>
      <w:r>
        <w:rPr>
          <w:rFonts w:ascii="Times New Roman" w:cs="Times New Roman" w:eastAsia="Times New Roman" w:hAnsi="Times New Roman"/>
          <w:sz w:val="13"/>
          <w:szCs w:val="13"/>
          <w:color w:val="auto"/>
        </w:rPr>
        <w:t>The DGCL authorizes corporations to limit or eliminate the personal liability of directors and officers to corporations and their stockholders for monetary damages for breaches of directors’ and officers’ fiduciary duties, subject to certain exceptions. The Amended and Restated Charter includes a provision that eliminates the personal liability of directors and officers for monetary damages to the corporation or its stockholders for any breach of fiduciary duty as a director or an officer. The effect of these provisions is to eliminate the Company’s rights and those of the Company’s stockholders, through stockholders’ derivative suits on the Company’s behalf, to recover monetary damages from a director or an officer for breach of fiduciary duty as a director or an officer, including breaches resulting from grossly negligent behavior. However, exculpation will not apply to any breaches of a director’s or officer’s duty of loyalty, acts or omissions not in good faith or that involve intentional misconduct or a knowing violation of law, or for any transaction from which such director or officer derived an improper personal benefit.</w:t>
      </w:r>
    </w:p>
    <w:p>
      <w:pPr>
        <w:spacing w:after="0" w:line="136" w:lineRule="exact"/>
        <w:rPr>
          <w:sz w:val="20"/>
          <w:szCs w:val="20"/>
          <w:color w:val="auto"/>
        </w:rPr>
      </w:pPr>
    </w:p>
    <w:p>
      <w:pPr>
        <w:ind w:left="1540" w:right="599" w:firstLine="329"/>
        <w:spacing w:after="0" w:line="271" w:lineRule="auto"/>
        <w:rPr>
          <w:sz w:val="20"/>
          <w:szCs w:val="20"/>
          <w:color w:val="auto"/>
        </w:rPr>
      </w:pPr>
      <w:r>
        <w:rPr>
          <w:rFonts w:ascii="Times New Roman" w:cs="Times New Roman" w:eastAsia="Times New Roman" w:hAnsi="Times New Roman"/>
          <w:sz w:val="13"/>
          <w:szCs w:val="13"/>
          <w:color w:val="auto"/>
        </w:rPr>
        <w:t>The Amended and Restated Charter generally provides that the Company must defend, indemnify and advance expenses to the Company’s directors and officers to the fullest extent permitted or required by the DGCL. The Company may also be expressly authorized to carry directors’ and officers’ liability insurance providing indemnification for its directors, officers and certain employees for some liabilities. The Company believes that these indemnification and advancement provisions and insurance are useful to attract and retain qualified directors and executive officers.</w:t>
      </w:r>
    </w:p>
    <w:p>
      <w:pPr>
        <w:spacing w:after="0" w:line="131" w:lineRule="exact"/>
        <w:rPr>
          <w:sz w:val="20"/>
          <w:szCs w:val="20"/>
          <w:color w:val="auto"/>
        </w:rPr>
      </w:pPr>
    </w:p>
    <w:p>
      <w:pPr>
        <w:ind w:left="1540" w:right="479" w:firstLine="329"/>
        <w:spacing w:after="0" w:line="271" w:lineRule="auto"/>
        <w:rPr>
          <w:sz w:val="20"/>
          <w:szCs w:val="20"/>
          <w:color w:val="auto"/>
        </w:rPr>
      </w:pPr>
      <w:r>
        <w:rPr>
          <w:rFonts w:ascii="Times New Roman" w:cs="Times New Roman" w:eastAsia="Times New Roman" w:hAnsi="Times New Roman"/>
          <w:sz w:val="13"/>
          <w:szCs w:val="13"/>
          <w:color w:val="auto"/>
        </w:rPr>
        <w:t>The limitation of liability, indemnification and advancement provisions in the Amended and Restated Charter and the Amended Bylaws may discourage stockholders from bringing a lawsuit against directors or officers for breach of their fiduciary duties. These provisions also may have the effect of reducing the likelihood of derivative litigation against directors and officers, even though such an action, if successful, might otherwise benefit Cibus, Inc. and its stockholders.</w:t>
      </w:r>
    </w:p>
    <w:p>
      <w:pPr>
        <w:spacing w:after="0" w:line="208"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3"/>
          <w:szCs w:val="13"/>
          <w:b w:val="1"/>
          <w:bCs w:val="1"/>
          <w:color w:val="auto"/>
        </w:rPr>
        <w:t>Transfer Agent and Registrar</w:t>
      </w:r>
    </w:p>
    <w:p>
      <w:pPr>
        <w:spacing w:after="0" w:line="96"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3"/>
          <w:szCs w:val="13"/>
          <w:color w:val="auto"/>
        </w:rPr>
        <w:t>The transfer agent and registrar for the Class A Common Stock is Broadridge Corporate Issuer Solutions, LLC. The transfer agent’s address is</w:t>
      </w:r>
    </w:p>
    <w:p>
      <w:pPr>
        <w:spacing w:after="0" w:line="24"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3"/>
          <w:szCs w:val="13"/>
          <w:color w:val="auto"/>
        </w:rPr>
        <w:t>1155 Long Island Avenue, Edgewood, NY 11717.</w:t>
      </w:r>
    </w:p>
    <w:p>
      <w:pPr>
        <w:spacing w:after="0" w:line="11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15</w:t>
      </w:r>
    </w:p>
    <w:p>
      <w:pPr>
        <w:sectPr>
          <w:pgSz w:w="11900" w:h="16838" w:orient="portrait"/>
          <w:cols w:equalWidth="0" w:num="1">
            <w:col w:w="10159"/>
          </w:cols>
          <w:pgMar w:left="300" w:top="375" w:right="1440"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05345" cy="31750"/>
                    </a:xfrm>
                    <a:prstGeom prst="rect">
                      <a:avLst/>
                    </a:prstGeom>
                    <a:noFill/>
                  </pic:spPr>
                </pic:pic>
              </a:graphicData>
            </a:graphic>
          </wp:anchor>
        </w:drawing>
        <w:t>Table of Contents</w:t>
      </w:r>
    </w:p>
    <w:p>
      <w:pPr>
        <w:spacing w:after="0" w:line="24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DESCRIPTION OF DEPOSITARY SHARES</w:t>
      </w:r>
    </w:p>
    <w:p>
      <w:pPr>
        <w:spacing w:after="0" w:line="177" w:lineRule="exact"/>
        <w:rPr>
          <w:sz w:val="20"/>
          <w:szCs w:val="20"/>
          <w:color w:val="auto"/>
        </w:rPr>
      </w:pPr>
    </w:p>
    <w:p>
      <w:pPr>
        <w:ind w:left="1540" w:right="499" w:firstLine="329"/>
        <w:spacing w:after="0" w:line="263" w:lineRule="auto"/>
        <w:rPr>
          <w:sz w:val="20"/>
          <w:szCs w:val="20"/>
          <w:color w:val="auto"/>
        </w:rPr>
      </w:pPr>
      <w:r>
        <w:rPr>
          <w:rFonts w:ascii="Times New Roman" w:cs="Times New Roman" w:eastAsia="Times New Roman" w:hAnsi="Times New Roman"/>
          <w:sz w:val="13"/>
          <w:szCs w:val="13"/>
          <w:color w:val="auto"/>
        </w:rPr>
        <w:t>The Company may offer depositary shares (either separately or together with other securities) representing fractional interests in the Company’s preferred stock of any series. In connection with the issuance of any depositary shares, the Company may enter into a deposit agreement with a bank or trust company, as depositary, which will be named in the applicable prospectus supplement. Depositary shares will be evidenced by depositary receipts issued pursuant to the related deposit agreement. Immediately following the Company’s issuance of the preferred stock related to the depositary shares, the Company may deposit the preferred stock with the relevant preferred stock depositary and will cause the preferred stock depositary to issue, on the Company’s behalf, the related depositary receipts. Subject to the terms of the deposit agreement, each owner of a depositary receipt will be entitled, in proportion to the fraction of a share of preferred stock represented by the related depositary share, to all the rights, preferences and privileges of, and will be subject to all of the limitations and restrictions on, the preferred stock represented by the depositary receipt (including, if applicable, dividend, voting, conversion, exchange redemption and liquidation rights).</w:t>
      </w:r>
    </w:p>
    <w:p>
      <w:pPr>
        <w:spacing w:after="0" w:line="8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16</w:t>
      </w:r>
    </w:p>
    <w:p>
      <w:pPr>
        <w:sectPr>
          <w:pgSz w:w="11900" w:h="16838" w:orient="portrait"/>
          <w:cols w:equalWidth="0" w:num="1">
            <w:col w:w="10159"/>
          </w:cols>
          <w:pgMar w:left="300" w:top="375" w:right="1440"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05345" cy="31750"/>
                    </a:xfrm>
                    <a:prstGeom prst="rect">
                      <a:avLst/>
                    </a:prstGeom>
                    <a:noFill/>
                  </pic:spPr>
                </pic:pic>
              </a:graphicData>
            </a:graphic>
          </wp:anchor>
        </w:drawing>
        <w:t>Table of Contents</w:t>
      </w:r>
    </w:p>
    <w:p>
      <w:pPr>
        <w:spacing w:after="0" w:line="24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DESCRIPTION OF WARRANTS</w:t>
      </w:r>
    </w:p>
    <w:p>
      <w:pPr>
        <w:spacing w:after="0" w:line="177" w:lineRule="exact"/>
        <w:rPr>
          <w:sz w:val="20"/>
          <w:szCs w:val="20"/>
          <w:color w:val="auto"/>
        </w:rPr>
      </w:pPr>
    </w:p>
    <w:p>
      <w:pPr>
        <w:ind w:left="1540" w:right="459" w:firstLine="329"/>
        <w:spacing w:after="0" w:line="265" w:lineRule="auto"/>
        <w:rPr>
          <w:sz w:val="20"/>
          <w:szCs w:val="20"/>
          <w:color w:val="auto"/>
        </w:rPr>
      </w:pPr>
      <w:r>
        <w:rPr>
          <w:rFonts w:ascii="Times New Roman" w:cs="Times New Roman" w:eastAsia="Times New Roman" w:hAnsi="Times New Roman"/>
          <w:sz w:val="13"/>
          <w:szCs w:val="13"/>
          <w:color w:val="auto"/>
        </w:rPr>
        <w:t>The Company may issue warrants for the purchase of the Company’s Class A Common Stock, Preferred Stock or any combination thereof. Warrants may be issued independently or together with the Company’s securities offered by any prospectus supplement and may be attached to or separate from any such offered securities. Each series of warrants will be issued under a separate warrant agreement to be entered into between the Company and a bank or trust company, as warrant agent, all as set forth in the prospectus supplement relating to the particular issue of warrants. The warrant agent will act solely as the Company’s agent in connection with the warrants and will not assume any obligation or relationship of agency or trust for or with any holders of warrants or beneficial owners of warrants. The following summary of certain provisions of the warrants does not purport to be complete and is subject to, and is qualified in its entirety by reference to, all provisions of the warrant agreements.</w:t>
      </w:r>
    </w:p>
    <w:p>
      <w:pPr>
        <w:spacing w:after="0" w:line="135" w:lineRule="exact"/>
        <w:rPr>
          <w:sz w:val="20"/>
          <w:szCs w:val="20"/>
          <w:color w:val="auto"/>
        </w:rPr>
      </w:pPr>
    </w:p>
    <w:p>
      <w:pPr>
        <w:ind w:left="1540" w:right="559" w:firstLine="329"/>
        <w:spacing w:after="0" w:line="297" w:lineRule="auto"/>
        <w:rPr>
          <w:sz w:val="20"/>
          <w:szCs w:val="20"/>
          <w:color w:val="auto"/>
        </w:rPr>
      </w:pPr>
      <w:r>
        <w:rPr>
          <w:rFonts w:ascii="Times New Roman" w:cs="Times New Roman" w:eastAsia="Times New Roman" w:hAnsi="Times New Roman"/>
          <w:sz w:val="13"/>
          <w:szCs w:val="13"/>
          <w:color w:val="auto"/>
        </w:rPr>
        <w:t>You should refer to the prospectus supplement relating to a particular issue of warrants for the terms of and information relating to the warrants, including, where applicable:</w:t>
      </w:r>
    </w:p>
    <w:p>
      <w:pPr>
        <w:spacing w:after="0" w:line="43" w:lineRule="exact"/>
        <w:rPr>
          <w:sz w:val="20"/>
          <w:szCs w:val="20"/>
          <w:color w:val="auto"/>
        </w:rPr>
      </w:pPr>
    </w:p>
    <w:p>
      <w:pPr>
        <w:ind w:left="2260" w:right="499" w:hanging="325"/>
        <w:spacing w:after="0" w:line="297" w:lineRule="auto"/>
        <w:tabs>
          <w:tab w:leader="none" w:pos="226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number of securities purchasable upon exercise of the warrants and the price at which such securities may be purchased upon exercise of the warrants;</w:t>
      </w:r>
    </w:p>
    <w:p>
      <w:pPr>
        <w:spacing w:after="0" w:line="43" w:lineRule="exact"/>
        <w:rPr>
          <w:rFonts w:ascii="Times New Roman" w:cs="Times New Roman" w:eastAsia="Times New Roman" w:hAnsi="Times New Roman"/>
          <w:sz w:val="13"/>
          <w:szCs w:val="13"/>
          <w:color w:val="auto"/>
        </w:rPr>
      </w:pPr>
    </w:p>
    <w:p>
      <w:pPr>
        <w:ind w:left="2260" w:hanging="325"/>
        <w:spacing w:after="0"/>
        <w:tabs>
          <w:tab w:leader="none" w:pos="226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date on which the right to exercise the warrants commences and the date on which such right expires (the “Expiration Date”);</w:t>
      </w:r>
    </w:p>
    <w:p>
      <w:pPr>
        <w:spacing w:after="0" w:line="102" w:lineRule="exact"/>
        <w:rPr>
          <w:rFonts w:ascii="Times New Roman" w:cs="Times New Roman" w:eastAsia="Times New Roman" w:hAnsi="Times New Roman"/>
          <w:sz w:val="13"/>
          <w:szCs w:val="13"/>
          <w:color w:val="auto"/>
        </w:rPr>
      </w:pPr>
    </w:p>
    <w:p>
      <w:pPr>
        <w:ind w:left="2260" w:hanging="325"/>
        <w:spacing w:after="0"/>
        <w:tabs>
          <w:tab w:leader="none" w:pos="226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certain United States federal income tax consequences applicable to the warrants;</w:t>
      </w:r>
    </w:p>
    <w:p>
      <w:pPr>
        <w:spacing w:after="0" w:line="102" w:lineRule="exact"/>
        <w:rPr>
          <w:rFonts w:ascii="Times New Roman" w:cs="Times New Roman" w:eastAsia="Times New Roman" w:hAnsi="Times New Roman"/>
          <w:sz w:val="13"/>
          <w:szCs w:val="13"/>
          <w:color w:val="auto"/>
        </w:rPr>
      </w:pPr>
    </w:p>
    <w:p>
      <w:pPr>
        <w:ind w:left="2260" w:hanging="325"/>
        <w:spacing w:after="0"/>
        <w:tabs>
          <w:tab w:leader="none" w:pos="226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amount of the warrants outstanding as of the most recent practicable date; and</w:t>
      </w:r>
    </w:p>
    <w:p>
      <w:pPr>
        <w:spacing w:after="0" w:line="102" w:lineRule="exact"/>
        <w:rPr>
          <w:rFonts w:ascii="Times New Roman" w:cs="Times New Roman" w:eastAsia="Times New Roman" w:hAnsi="Times New Roman"/>
          <w:sz w:val="13"/>
          <w:szCs w:val="13"/>
          <w:color w:val="auto"/>
        </w:rPr>
      </w:pPr>
    </w:p>
    <w:p>
      <w:pPr>
        <w:ind w:left="2260" w:hanging="325"/>
        <w:spacing w:after="0"/>
        <w:tabs>
          <w:tab w:leader="none" w:pos="226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other terms of the warrants.</w:t>
      </w:r>
    </w:p>
    <w:p>
      <w:pPr>
        <w:spacing w:after="0" w:line="173" w:lineRule="exact"/>
        <w:rPr>
          <w:sz w:val="20"/>
          <w:szCs w:val="20"/>
          <w:color w:val="auto"/>
        </w:rPr>
      </w:pPr>
    </w:p>
    <w:p>
      <w:pPr>
        <w:ind w:left="1540" w:right="479" w:firstLine="329"/>
        <w:spacing w:after="0" w:line="267" w:lineRule="auto"/>
        <w:rPr>
          <w:sz w:val="20"/>
          <w:szCs w:val="20"/>
          <w:color w:val="auto"/>
        </w:rPr>
      </w:pPr>
      <w:r>
        <w:rPr>
          <w:rFonts w:ascii="Times New Roman" w:cs="Times New Roman" w:eastAsia="Times New Roman" w:hAnsi="Times New Roman"/>
          <w:sz w:val="13"/>
          <w:szCs w:val="13"/>
          <w:color w:val="auto"/>
        </w:rPr>
        <w:t>Warrants will be offered and exercisable for United States dollars only. Warrants will be issued in registered form only. Each warrant will entitle its holder to purchase such number of securities at such exercise price as is in each case set forth in, or calculable from, the prospectus supplement relating to the warrants. The exercise price may be subject to adjustment upon the occurrence of events described in such prospectus supplement. After the close of business on the Expiration Date (or such later date to which the Company may extend such Expiration Date), unexercised warrants will become void. The place or places where, and the manner in which, warrants may be exercised will be specified in the prospectus supplement relating to such warrants.</w:t>
      </w:r>
    </w:p>
    <w:p>
      <w:pPr>
        <w:spacing w:after="0" w:line="297" w:lineRule="exact"/>
        <w:rPr>
          <w:sz w:val="20"/>
          <w:szCs w:val="20"/>
          <w:color w:val="auto"/>
        </w:rPr>
      </w:pPr>
    </w:p>
    <w:p>
      <w:pPr>
        <w:ind w:left="1540" w:right="519" w:firstLine="329"/>
        <w:spacing w:after="0" w:line="297" w:lineRule="auto"/>
        <w:rPr>
          <w:sz w:val="20"/>
          <w:szCs w:val="20"/>
          <w:color w:val="auto"/>
        </w:rPr>
      </w:pPr>
      <w:r>
        <w:rPr>
          <w:rFonts w:ascii="Times New Roman" w:cs="Times New Roman" w:eastAsia="Times New Roman" w:hAnsi="Times New Roman"/>
          <w:sz w:val="13"/>
          <w:szCs w:val="13"/>
          <w:color w:val="auto"/>
        </w:rPr>
        <w:t>Prior to the exercise of any warrants, holders of the warrants will not have any of the rights of holders of securities, including the right to receive payments of any dividends on the securities purchasable upon exercise of the warrants, or to exercise any applicable right to vote.</w:t>
      </w:r>
    </w:p>
    <w:p>
      <w:pPr>
        <w:spacing w:after="0" w:line="6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17</w:t>
      </w:r>
    </w:p>
    <w:p>
      <w:pPr>
        <w:sectPr>
          <w:pgSz w:w="11900" w:h="16838" w:orient="portrait"/>
          <w:cols w:equalWidth="0" w:num="1">
            <w:col w:w="10159"/>
          </w:cols>
          <w:pgMar w:left="300" w:top="375" w:right="1440"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05345" cy="31750"/>
                    </a:xfrm>
                    <a:prstGeom prst="rect">
                      <a:avLst/>
                    </a:prstGeom>
                    <a:noFill/>
                  </pic:spPr>
                </pic:pic>
              </a:graphicData>
            </a:graphic>
          </wp:anchor>
        </w:drawing>
        <w:t>Table of Contents</w:t>
      </w:r>
    </w:p>
    <w:p>
      <w:pPr>
        <w:spacing w:after="0" w:line="2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3"/>
          <w:szCs w:val="13"/>
          <w:b w:val="1"/>
          <w:bCs w:val="1"/>
          <w:color w:val="auto"/>
        </w:rPr>
        <w:t>DESCRIPTION OF SUBSCRIPTION RIGHTS</w:t>
      </w:r>
    </w:p>
    <w:p>
      <w:pPr>
        <w:spacing w:after="0" w:line="177" w:lineRule="exact"/>
        <w:rPr>
          <w:sz w:val="20"/>
          <w:szCs w:val="20"/>
          <w:color w:val="auto"/>
        </w:rPr>
      </w:pPr>
    </w:p>
    <w:p>
      <w:pPr>
        <w:ind w:left="1540" w:right="419" w:firstLine="329"/>
        <w:spacing w:after="0" w:line="268" w:lineRule="auto"/>
        <w:rPr>
          <w:sz w:val="20"/>
          <w:szCs w:val="20"/>
          <w:color w:val="auto"/>
        </w:rPr>
      </w:pPr>
      <w:r>
        <w:rPr>
          <w:rFonts w:ascii="Times New Roman" w:cs="Times New Roman" w:eastAsia="Times New Roman" w:hAnsi="Times New Roman"/>
          <w:sz w:val="13"/>
          <w:szCs w:val="13"/>
          <w:color w:val="auto"/>
        </w:rPr>
        <w:t>The Company may issue subscription rights to purchase common stock, preferred stock or any combination thereof. These subscription rights may be offered independently or together with any other security offered hereby and may or may not be transferable by the stockholder receiving the subscription rights in such offering. In connection with any offering of subscription rights, the Company may enter into a standby arrangement with one or more underwriters or other purchasers pursuant to which the underwriters or other purchasers may be required to purchase any securities remaining unsubscribed for after such offering.</w:t>
      </w:r>
    </w:p>
    <w:p>
      <w:pPr>
        <w:spacing w:after="0" w:line="133" w:lineRule="exact"/>
        <w:rPr>
          <w:sz w:val="20"/>
          <w:szCs w:val="20"/>
          <w:color w:val="auto"/>
        </w:rPr>
      </w:pPr>
    </w:p>
    <w:p>
      <w:pPr>
        <w:ind w:left="1540" w:right="679" w:firstLine="329"/>
        <w:spacing w:after="0" w:line="297" w:lineRule="auto"/>
        <w:rPr>
          <w:sz w:val="20"/>
          <w:szCs w:val="20"/>
          <w:color w:val="auto"/>
        </w:rPr>
      </w:pPr>
      <w:r>
        <w:rPr>
          <w:rFonts w:ascii="Times New Roman" w:cs="Times New Roman" w:eastAsia="Times New Roman" w:hAnsi="Times New Roman"/>
          <w:sz w:val="13"/>
          <w:szCs w:val="13"/>
          <w:color w:val="auto"/>
        </w:rPr>
        <w:t>The prospectus supplement relating to any subscription rights the Company offers, if any, will, to the extent applicable, include specific terms relating to the offering, including some or all of the following:</w:t>
      </w:r>
    </w:p>
    <w:p>
      <w:pPr>
        <w:spacing w:after="0" w:line="43" w:lineRule="exact"/>
        <w:rPr>
          <w:sz w:val="20"/>
          <w:szCs w:val="20"/>
          <w:color w:val="auto"/>
        </w:rPr>
      </w:pPr>
    </w:p>
    <w:p>
      <w:pPr>
        <w:ind w:left="2260" w:hanging="325"/>
        <w:spacing w:after="0"/>
        <w:tabs>
          <w:tab w:leader="none" w:pos="226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price, if any, for the subscription rights;</w:t>
      </w:r>
    </w:p>
    <w:p>
      <w:pPr>
        <w:spacing w:after="0" w:line="102" w:lineRule="exact"/>
        <w:rPr>
          <w:rFonts w:ascii="Times New Roman" w:cs="Times New Roman" w:eastAsia="Times New Roman" w:hAnsi="Times New Roman"/>
          <w:sz w:val="13"/>
          <w:szCs w:val="13"/>
          <w:color w:val="auto"/>
        </w:rPr>
      </w:pPr>
    </w:p>
    <w:p>
      <w:pPr>
        <w:ind w:left="2260" w:hanging="325"/>
        <w:spacing w:after="0"/>
        <w:tabs>
          <w:tab w:leader="none" w:pos="226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exercise price payable for the Company’s common stock or preferred stock upon the exercise of the subscription rights;</w:t>
      </w:r>
    </w:p>
    <w:p>
      <w:pPr>
        <w:spacing w:after="0" w:line="102" w:lineRule="exact"/>
        <w:rPr>
          <w:rFonts w:ascii="Times New Roman" w:cs="Times New Roman" w:eastAsia="Times New Roman" w:hAnsi="Times New Roman"/>
          <w:sz w:val="13"/>
          <w:szCs w:val="13"/>
          <w:color w:val="auto"/>
        </w:rPr>
      </w:pPr>
    </w:p>
    <w:p>
      <w:pPr>
        <w:ind w:left="2260" w:hanging="325"/>
        <w:spacing w:after="0"/>
        <w:tabs>
          <w:tab w:leader="none" w:pos="226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number of subscription rights to be issued to each stockholder;</w:t>
      </w:r>
    </w:p>
    <w:p>
      <w:pPr>
        <w:spacing w:after="0" w:line="102" w:lineRule="exact"/>
        <w:rPr>
          <w:rFonts w:ascii="Times New Roman" w:cs="Times New Roman" w:eastAsia="Times New Roman" w:hAnsi="Times New Roman"/>
          <w:sz w:val="13"/>
          <w:szCs w:val="13"/>
          <w:color w:val="auto"/>
        </w:rPr>
      </w:pPr>
    </w:p>
    <w:p>
      <w:pPr>
        <w:ind w:left="2260" w:hanging="325"/>
        <w:spacing w:after="0"/>
        <w:tabs>
          <w:tab w:leader="none" w:pos="226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number of shares and terms of the common stock or preferred stock which may be purchased per each subscription right;</w:t>
      </w:r>
    </w:p>
    <w:p>
      <w:pPr>
        <w:spacing w:after="0" w:line="102" w:lineRule="exact"/>
        <w:rPr>
          <w:rFonts w:ascii="Times New Roman" w:cs="Times New Roman" w:eastAsia="Times New Roman" w:hAnsi="Times New Roman"/>
          <w:sz w:val="13"/>
          <w:szCs w:val="13"/>
          <w:color w:val="auto"/>
        </w:rPr>
      </w:pPr>
    </w:p>
    <w:p>
      <w:pPr>
        <w:ind w:left="2260" w:hanging="325"/>
        <w:spacing w:after="0"/>
        <w:tabs>
          <w:tab w:leader="none" w:pos="226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extent to which the subscription rights are transferable;</w:t>
      </w:r>
    </w:p>
    <w:p>
      <w:pPr>
        <w:spacing w:after="0" w:line="102" w:lineRule="exact"/>
        <w:rPr>
          <w:rFonts w:ascii="Times New Roman" w:cs="Times New Roman" w:eastAsia="Times New Roman" w:hAnsi="Times New Roman"/>
          <w:sz w:val="13"/>
          <w:szCs w:val="13"/>
          <w:color w:val="auto"/>
        </w:rPr>
      </w:pPr>
    </w:p>
    <w:p>
      <w:pPr>
        <w:ind w:left="2260" w:right="739" w:hanging="325"/>
        <w:spacing w:after="0" w:line="297" w:lineRule="auto"/>
        <w:tabs>
          <w:tab w:leader="none" w:pos="226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other terms of the subscription rights, including the terms, procedures and limitations relating to the exchange and exercise of the subscription rights;</w:t>
      </w:r>
    </w:p>
    <w:p>
      <w:pPr>
        <w:spacing w:after="0" w:line="43" w:lineRule="exact"/>
        <w:rPr>
          <w:rFonts w:ascii="Times New Roman" w:cs="Times New Roman" w:eastAsia="Times New Roman" w:hAnsi="Times New Roman"/>
          <w:sz w:val="13"/>
          <w:szCs w:val="13"/>
          <w:color w:val="auto"/>
        </w:rPr>
      </w:pPr>
    </w:p>
    <w:p>
      <w:pPr>
        <w:ind w:left="2260" w:hanging="325"/>
        <w:spacing w:after="0"/>
        <w:tabs>
          <w:tab w:leader="none" w:pos="226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date on which the right to exercise the subscription rights shall commence, and the date on which the subscription rights shall expire;</w:t>
      </w:r>
    </w:p>
    <w:p>
      <w:pPr>
        <w:spacing w:after="0" w:line="102" w:lineRule="exact"/>
        <w:rPr>
          <w:rFonts w:ascii="Times New Roman" w:cs="Times New Roman" w:eastAsia="Times New Roman" w:hAnsi="Times New Roman"/>
          <w:sz w:val="13"/>
          <w:szCs w:val="13"/>
          <w:color w:val="auto"/>
        </w:rPr>
      </w:pPr>
    </w:p>
    <w:p>
      <w:pPr>
        <w:ind w:left="2260" w:right="579" w:hanging="325"/>
        <w:spacing w:after="0" w:line="297" w:lineRule="auto"/>
        <w:tabs>
          <w:tab w:leader="none" w:pos="226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extent to which the subscription rights may include an over-subscription privilege with respect to unsubscribed securities or an over-allotment privilege to the extent the securities are fully subscribed; and</w:t>
      </w:r>
    </w:p>
    <w:p>
      <w:pPr>
        <w:spacing w:after="0" w:line="43" w:lineRule="exact"/>
        <w:rPr>
          <w:rFonts w:ascii="Times New Roman" w:cs="Times New Roman" w:eastAsia="Times New Roman" w:hAnsi="Times New Roman"/>
          <w:sz w:val="13"/>
          <w:szCs w:val="13"/>
          <w:color w:val="auto"/>
        </w:rPr>
      </w:pPr>
    </w:p>
    <w:p>
      <w:pPr>
        <w:ind w:left="2260" w:right="599" w:hanging="325"/>
        <w:spacing w:after="0" w:line="297" w:lineRule="auto"/>
        <w:tabs>
          <w:tab w:leader="none" w:pos="226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applicable, the material terms of any standby underwriting or purchase arrangement into which the Company may enter in connection with the offering of subscription rights.</w:t>
      </w:r>
    </w:p>
    <w:p>
      <w:pPr>
        <w:spacing w:after="0" w:line="114" w:lineRule="exact"/>
        <w:rPr>
          <w:sz w:val="20"/>
          <w:szCs w:val="20"/>
          <w:color w:val="auto"/>
        </w:rPr>
      </w:pPr>
    </w:p>
    <w:p>
      <w:pPr>
        <w:ind w:left="1540" w:right="539" w:firstLine="329"/>
        <w:spacing w:after="0" w:line="278" w:lineRule="auto"/>
        <w:rPr>
          <w:sz w:val="20"/>
          <w:szCs w:val="20"/>
          <w:color w:val="auto"/>
        </w:rPr>
      </w:pPr>
      <w:r>
        <w:rPr>
          <w:rFonts w:ascii="Times New Roman" w:cs="Times New Roman" w:eastAsia="Times New Roman" w:hAnsi="Times New Roman"/>
          <w:sz w:val="13"/>
          <w:szCs w:val="13"/>
          <w:color w:val="auto"/>
        </w:rPr>
        <w:t>The description in the applicable prospectus supplement of any subscription rights the Company offers will not necessarily be complete and will be qualified in its entirety by reference to the applicable subscription rights certificate, which will be filed with the SEC if the Company offers subscription rights. You are urged to read the applicable subscription rights certificate and any applicable prospectus supplement in their entirety.</w:t>
      </w:r>
    </w:p>
    <w:p>
      <w:pPr>
        <w:spacing w:after="0" w:line="7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18</w:t>
      </w:r>
    </w:p>
    <w:p>
      <w:pPr>
        <w:sectPr>
          <w:pgSz w:w="11900" w:h="16838" w:orient="portrait"/>
          <w:cols w:equalWidth="0" w:num="1">
            <w:col w:w="10159"/>
          </w:cols>
          <w:pgMar w:left="300" w:top="375" w:right="1440"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05345" cy="31750"/>
                    </a:xfrm>
                    <a:prstGeom prst="rect">
                      <a:avLst/>
                    </a:prstGeom>
                    <a:noFill/>
                  </pic:spPr>
                </pic:pic>
              </a:graphicData>
            </a:graphic>
          </wp:anchor>
        </w:drawing>
        <w:t>Table of Contents</w:t>
      </w:r>
    </w:p>
    <w:p>
      <w:pPr>
        <w:spacing w:after="0" w:line="24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DESCRIPTION OF UNITS</w:t>
      </w:r>
    </w:p>
    <w:p>
      <w:pPr>
        <w:spacing w:after="0" w:line="177" w:lineRule="exact"/>
        <w:rPr>
          <w:sz w:val="20"/>
          <w:szCs w:val="20"/>
          <w:color w:val="auto"/>
        </w:rPr>
      </w:pPr>
    </w:p>
    <w:p>
      <w:pPr>
        <w:ind w:left="1540" w:right="419" w:firstLine="329"/>
        <w:spacing w:after="0" w:line="266" w:lineRule="auto"/>
        <w:rPr>
          <w:sz w:val="20"/>
          <w:szCs w:val="20"/>
          <w:color w:val="auto"/>
        </w:rPr>
      </w:pPr>
      <w:r>
        <w:rPr>
          <w:rFonts w:ascii="Times New Roman" w:cs="Times New Roman" w:eastAsia="Times New Roman" w:hAnsi="Times New Roman"/>
          <w:sz w:val="13"/>
          <w:szCs w:val="13"/>
          <w:color w:val="auto"/>
        </w:rPr>
        <w:t>The Company may issue units comprising one or more securities described in this prospectus in any combination (but not securities of third parties) as specified in a related prospectus supplement or a free writing prospectus. Units may be issued pursuant to the terms of a unit agreement, which may provide that the securities included in the unit may not be held or transferred separately at any time or at any time before a specified date. A copy of the forms of any unit agreement or unit certificate, as applicable, relating to any particular issue of units will, if applicable, be filed with the SEC when the Company issues units, and you should read those documents for provisions that may be important to you. For more information on how you can obtain copies of the forms of the unit agreement and the related unit certificate, see “Where You Can Find Additional Information.”</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19</w:t>
      </w:r>
    </w:p>
    <w:p>
      <w:pPr>
        <w:sectPr>
          <w:pgSz w:w="11900" w:h="16838" w:orient="portrait"/>
          <w:cols w:equalWidth="0" w:num="1">
            <w:col w:w="10159"/>
          </w:cols>
          <w:pgMar w:left="300" w:top="375" w:right="1440"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05345" cy="31750"/>
                    </a:xfrm>
                    <a:prstGeom prst="rect">
                      <a:avLst/>
                    </a:prstGeom>
                    <a:noFill/>
                  </pic:spPr>
                </pic:pic>
              </a:graphicData>
            </a:graphic>
          </wp:anchor>
        </w:drawing>
        <w:t>Table of Contents</w:t>
      </w:r>
    </w:p>
    <w:p>
      <w:pPr>
        <w:spacing w:after="0" w:line="24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LEGAL MATTERS</w:t>
      </w:r>
    </w:p>
    <w:p>
      <w:pPr>
        <w:spacing w:after="0" w:line="177" w:lineRule="exact"/>
        <w:rPr>
          <w:sz w:val="20"/>
          <w:szCs w:val="20"/>
          <w:color w:val="auto"/>
        </w:rPr>
      </w:pPr>
    </w:p>
    <w:p>
      <w:pPr>
        <w:ind w:left="1540" w:right="459" w:firstLine="329"/>
        <w:spacing w:after="0" w:line="278" w:lineRule="auto"/>
        <w:rPr>
          <w:sz w:val="20"/>
          <w:szCs w:val="20"/>
          <w:color w:val="auto"/>
        </w:rPr>
      </w:pPr>
      <w:r>
        <w:rPr>
          <w:rFonts w:ascii="Times New Roman" w:cs="Times New Roman" w:eastAsia="Times New Roman" w:hAnsi="Times New Roman"/>
          <w:sz w:val="13"/>
          <w:szCs w:val="13"/>
          <w:color w:val="auto"/>
        </w:rPr>
        <w:t>Unless otherwise indicated in the applicable prospectus supplement, Jones Day, New York, New York, will pass upon the validity of the securities covered by this prospectus. Any underwriters or agents will be advised about other issues relating to the offering by counsel to be named in the applicable prospectus supplement.</w:t>
      </w:r>
    </w:p>
    <w:p>
      <w:pPr>
        <w:spacing w:after="0" w:line="7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20</w:t>
      </w:r>
    </w:p>
    <w:p>
      <w:pPr>
        <w:sectPr>
          <w:pgSz w:w="11900" w:h="16838" w:orient="portrait"/>
          <w:cols w:equalWidth="0" w:num="1">
            <w:col w:w="10159"/>
          </w:cols>
          <w:pgMar w:left="300" w:top="375" w:right="1440"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05345" cy="31750"/>
                    </a:xfrm>
                    <a:prstGeom prst="rect">
                      <a:avLst/>
                    </a:prstGeom>
                    <a:noFill/>
                  </pic:spPr>
                </pic:pic>
              </a:graphicData>
            </a:graphic>
          </wp:anchor>
        </w:drawing>
        <w:t>Table of Contents</w:t>
      </w:r>
    </w:p>
    <w:p>
      <w:pPr>
        <w:spacing w:after="0" w:line="24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EXPERTS</w:t>
      </w:r>
    </w:p>
    <w:p>
      <w:pPr>
        <w:spacing w:after="0" w:line="177" w:lineRule="exact"/>
        <w:rPr>
          <w:sz w:val="20"/>
          <w:szCs w:val="20"/>
          <w:color w:val="auto"/>
        </w:rPr>
      </w:pPr>
    </w:p>
    <w:p>
      <w:pPr>
        <w:ind w:left="1540" w:right="459" w:firstLine="329"/>
        <w:spacing w:after="0" w:line="271" w:lineRule="auto"/>
        <w:rPr>
          <w:sz w:val="20"/>
          <w:szCs w:val="20"/>
          <w:color w:val="auto"/>
        </w:rPr>
      </w:pPr>
      <w:r>
        <w:rPr>
          <w:rFonts w:ascii="Times New Roman" w:cs="Times New Roman" w:eastAsia="Times New Roman" w:hAnsi="Times New Roman"/>
          <w:sz w:val="13"/>
          <w:szCs w:val="13"/>
          <w:color w:val="auto"/>
        </w:rPr>
        <w:t>The consolidated financial statements of Cibus, Inc. (the Company) as of December 31, 2025 and 2024, and for the years then ended incorporated by reference in this prospectus, have been so incorporated in reliance upon the report of BDO USA, P.C., an independent registered public accounting firm, given on the authority of said firm as experts in auditing and accounting. The report on the consolidated financial statements contains an explanatory paragraph regarding the Company’s ability to continue as a going concern.</w:t>
      </w:r>
    </w:p>
    <w:p>
      <w:pPr>
        <w:spacing w:after="0" w:line="8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21</w:t>
      </w:r>
    </w:p>
    <w:p>
      <w:pPr>
        <w:sectPr>
          <w:pgSz w:w="11900" w:h="16838" w:orient="portrait"/>
          <w:cols w:equalWidth="0" w:num="1">
            <w:col w:w="10159"/>
          </w:cols>
          <w:pgMar w:left="300" w:top="375" w:right="1440"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05345" cy="31750"/>
                    </a:xfrm>
                    <a:prstGeom prst="rect">
                      <a:avLst/>
                    </a:prstGeom>
                    <a:noFill/>
                  </pic:spPr>
                </pic:pic>
              </a:graphicData>
            </a:graphic>
          </wp:anchor>
        </w:drawing>
        <w:t>Table of Contents</w:t>
      </w:r>
    </w:p>
    <w:p>
      <w:pPr>
        <w:spacing w:after="0" w:line="24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3"/>
          <w:szCs w:val="13"/>
          <w:b w:val="1"/>
          <w:bCs w:val="1"/>
          <w:color w:val="auto"/>
        </w:rPr>
        <w:t>WHERE YOU CAN FIND MORE INFORMATION</w:t>
      </w:r>
    </w:p>
    <w:p>
      <w:pPr>
        <w:spacing w:after="0" w:line="177" w:lineRule="exact"/>
        <w:rPr>
          <w:sz w:val="20"/>
          <w:szCs w:val="20"/>
          <w:color w:val="auto"/>
        </w:rPr>
      </w:pPr>
    </w:p>
    <w:p>
      <w:pPr>
        <w:ind w:left="1540" w:right="439" w:firstLine="329"/>
        <w:spacing w:after="0" w:line="271" w:lineRule="auto"/>
        <w:rPr>
          <w:sz w:val="20"/>
          <w:szCs w:val="20"/>
          <w:color w:val="auto"/>
        </w:rPr>
      </w:pPr>
      <w:r>
        <w:rPr>
          <w:rFonts w:ascii="Times New Roman" w:cs="Times New Roman" w:eastAsia="Times New Roman" w:hAnsi="Times New Roman"/>
          <w:sz w:val="13"/>
          <w:szCs w:val="13"/>
          <w:color w:val="auto"/>
        </w:rPr>
        <w:t>The Company files annual, quarterly and current reports, proxy statements and other information with the SEC. The Company’s SEC filings are available to the public over the Internet at the SEC’s website at www.sec.gov. Copies of certain information filed by the Company with the SEC are also available on the Company’s website at www.cibus.com. The Company’s website is not a part of this prospectus and is not incorporated by reference in this prospectus.</w:t>
      </w:r>
    </w:p>
    <w:p>
      <w:pPr>
        <w:spacing w:after="0" w:line="131" w:lineRule="exact"/>
        <w:rPr>
          <w:sz w:val="20"/>
          <w:szCs w:val="20"/>
          <w:color w:val="auto"/>
        </w:rPr>
      </w:pPr>
    </w:p>
    <w:p>
      <w:pPr>
        <w:ind w:left="1540" w:right="419" w:firstLine="329"/>
        <w:spacing w:after="0" w:line="266" w:lineRule="auto"/>
        <w:rPr>
          <w:sz w:val="20"/>
          <w:szCs w:val="20"/>
          <w:color w:val="auto"/>
        </w:rPr>
      </w:pPr>
      <w:r>
        <w:rPr>
          <w:rFonts w:ascii="Times New Roman" w:cs="Times New Roman" w:eastAsia="Times New Roman" w:hAnsi="Times New Roman"/>
          <w:sz w:val="13"/>
          <w:szCs w:val="13"/>
          <w:color w:val="auto"/>
        </w:rPr>
        <w:t>This prospectus is part of a registration statement the Company filed with the SEC. This prospectus omits some information contained in the registration statement in accordance with SEC rules and regulations. You should review the information and exhibits in the registration statement for further information about the Company and its consolidated subsidiaries and the securities the Company is offering. Statements in this prospectus concerning any document the Company filed as an exhibit to the registration statement or that the Company otherwise filed with the SEC are not intended to be comprehensive and are qualified by reference to these filings and the exhibits attached thereto. You should review the complete document to evaluate these statements.</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22</w:t>
      </w:r>
    </w:p>
    <w:p>
      <w:pPr>
        <w:sectPr>
          <w:pgSz w:w="11900" w:h="16838" w:orient="portrait"/>
          <w:cols w:equalWidth="0" w:num="1">
            <w:col w:w="10159"/>
          </w:cols>
          <w:pgMar w:left="300" w:top="375" w:right="1440"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05345" cy="31750"/>
                    </a:xfrm>
                    <a:prstGeom prst="rect">
                      <a:avLst/>
                    </a:prstGeom>
                    <a:noFill/>
                  </pic:spPr>
                </pic:pic>
              </a:graphicData>
            </a:graphic>
          </wp:anchor>
        </w:drawing>
        <w:t>Table of Contents</w:t>
      </w:r>
    </w:p>
    <w:p>
      <w:pPr>
        <w:spacing w:after="0" w:line="24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INCORPORATION OF CERTAIN INFORMATION BY REFERENCE</w:t>
      </w:r>
    </w:p>
    <w:p>
      <w:pPr>
        <w:spacing w:after="0" w:line="177" w:lineRule="exact"/>
        <w:rPr>
          <w:sz w:val="20"/>
          <w:szCs w:val="20"/>
          <w:color w:val="auto"/>
        </w:rPr>
      </w:pPr>
    </w:p>
    <w:p>
      <w:pPr>
        <w:ind w:left="1540" w:right="479" w:firstLine="329"/>
        <w:spacing w:after="0" w:line="266" w:lineRule="auto"/>
        <w:rPr>
          <w:sz w:val="20"/>
          <w:szCs w:val="20"/>
          <w:color w:val="auto"/>
        </w:rPr>
      </w:pPr>
      <w:r>
        <w:rPr>
          <w:rFonts w:ascii="Times New Roman" w:cs="Times New Roman" w:eastAsia="Times New Roman" w:hAnsi="Times New Roman"/>
          <w:sz w:val="13"/>
          <w:szCs w:val="13"/>
          <w:color w:val="auto"/>
        </w:rPr>
        <w:t>The Company “incorporates by reference” into this prospectus documents it files with the SEC, which means that the Company can disclose important information to you by referring you to those documents. The information incorporated by reference is an important part of this prospectus. Some information contained in this prospectus updates the information incorporated by reference, and information that the Company files subsequently with the SEC will automatically update this prospectus. In other words, in the case of a conflict or inconsistency between information set forth in this prospectus and information that the Company files later and incorporate by reference into this prospectus, you should rely on the information contained in the document that was filed later.</w:t>
      </w:r>
    </w:p>
    <w:p>
      <w:pPr>
        <w:spacing w:after="0" w:line="135" w:lineRule="exact"/>
        <w:rPr>
          <w:sz w:val="20"/>
          <w:szCs w:val="20"/>
          <w:color w:val="auto"/>
        </w:rPr>
      </w:pPr>
    </w:p>
    <w:p>
      <w:pPr>
        <w:ind w:left="1540" w:right="439" w:firstLine="329"/>
        <w:spacing w:after="0" w:line="268" w:lineRule="auto"/>
        <w:rPr>
          <w:sz w:val="20"/>
          <w:szCs w:val="20"/>
          <w:color w:val="auto"/>
        </w:rPr>
      </w:pPr>
      <w:r>
        <w:rPr>
          <w:rFonts w:ascii="Times New Roman" w:cs="Times New Roman" w:eastAsia="Times New Roman" w:hAnsi="Times New Roman"/>
          <w:sz w:val="13"/>
          <w:szCs w:val="13"/>
          <w:color w:val="auto"/>
        </w:rPr>
        <w:t>In particular, the Company incorporates by reference into this prospectus the documents listed below and any filings the Company makes with the SEC under Sections 13(a), 13(c), 14 or 15(d) of the Exchange Act after the initial filing and prior to effectiveness of the registration statement that contains this prospectus and prior to the time that all the securities offered by this prospectus have been sold as described in this prospectus (other than, in each case, documents or information deemed to have been “furnished” and not “filed” in accordance with SEC rules) or such registration statement has been withdrawn:</w:t>
      </w:r>
    </w:p>
    <w:p>
      <w:pPr>
        <w:spacing w:after="0" w:line="62" w:lineRule="exact"/>
        <w:rPr>
          <w:sz w:val="20"/>
          <w:szCs w:val="20"/>
          <w:color w:val="auto"/>
        </w:rPr>
      </w:pPr>
    </w:p>
    <w:p>
      <w:pPr>
        <w:ind w:left="2260" w:hanging="325"/>
        <w:spacing w:after="0"/>
        <w:tabs>
          <w:tab w:leader="none" w:pos="226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Company’s Annual Report on </w:t>
      </w:r>
      <w:hyperlink r:id="rId50">
        <w:r>
          <w:rPr>
            <w:rFonts w:ascii="Times New Roman" w:cs="Times New Roman" w:eastAsia="Times New Roman" w:hAnsi="Times New Roman"/>
            <w:sz w:val="13"/>
            <w:szCs w:val="13"/>
            <w:u w:val="single" w:color="auto"/>
            <w:color w:val="0000EE"/>
          </w:rPr>
          <w:t>Form 10-K</w:t>
        </w:r>
        <w:r>
          <w:rPr>
            <w:rFonts w:ascii="Times New Roman" w:cs="Times New Roman" w:eastAsia="Times New Roman" w:hAnsi="Times New Roman"/>
            <w:sz w:val="13"/>
            <w:szCs w:val="13"/>
            <w:u w:val="single" w:color="auto"/>
            <w:color w:val="auto"/>
          </w:rPr>
          <w:t xml:space="preserve"> </w:t>
        </w:r>
      </w:hyperlink>
      <w:r>
        <w:rPr>
          <w:rFonts w:ascii="Times New Roman" w:cs="Times New Roman" w:eastAsia="Times New Roman" w:hAnsi="Times New Roman"/>
          <w:sz w:val="13"/>
          <w:szCs w:val="13"/>
          <w:color w:val="auto"/>
        </w:rPr>
        <w:t>for the fiscal year ended December 31, 2025, filed with the SEC on March 17, 2026;</w:t>
      </w:r>
    </w:p>
    <w:p>
      <w:pPr>
        <w:spacing w:after="0" w:line="102" w:lineRule="exact"/>
        <w:rPr>
          <w:rFonts w:ascii="Times New Roman" w:cs="Times New Roman" w:eastAsia="Times New Roman" w:hAnsi="Times New Roman"/>
          <w:sz w:val="13"/>
          <w:szCs w:val="13"/>
          <w:color w:val="auto"/>
        </w:rPr>
      </w:pPr>
    </w:p>
    <w:p>
      <w:pPr>
        <w:ind w:left="2260" w:hanging="325"/>
        <w:spacing w:after="0"/>
        <w:tabs>
          <w:tab w:leader="none" w:pos="226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Company’s Quarterly Report on </w:t>
      </w:r>
      <w:hyperlink r:id="rId51">
        <w:r>
          <w:rPr>
            <w:rFonts w:ascii="Times New Roman" w:cs="Times New Roman" w:eastAsia="Times New Roman" w:hAnsi="Times New Roman"/>
            <w:sz w:val="13"/>
            <w:szCs w:val="13"/>
            <w:u w:val="single" w:color="auto"/>
            <w:color w:val="0000EE"/>
          </w:rPr>
          <w:t>Form 10-Q</w:t>
        </w:r>
        <w:r>
          <w:rPr>
            <w:rFonts w:ascii="Times New Roman" w:cs="Times New Roman" w:eastAsia="Times New Roman" w:hAnsi="Times New Roman"/>
            <w:sz w:val="13"/>
            <w:szCs w:val="13"/>
            <w:u w:val="single" w:color="auto"/>
            <w:color w:val="auto"/>
          </w:rPr>
          <w:t xml:space="preserve"> </w:t>
        </w:r>
      </w:hyperlink>
      <w:r>
        <w:rPr>
          <w:rFonts w:ascii="Times New Roman" w:cs="Times New Roman" w:eastAsia="Times New Roman" w:hAnsi="Times New Roman"/>
          <w:sz w:val="13"/>
          <w:szCs w:val="13"/>
          <w:color w:val="auto"/>
        </w:rPr>
        <w:t>for the period ended March 31, 2026, filed with the SEC on May 14, 2026;</w:t>
      </w:r>
    </w:p>
    <w:p>
      <w:pPr>
        <w:spacing w:after="0" w:line="102" w:lineRule="exact"/>
        <w:rPr>
          <w:rFonts w:ascii="Times New Roman" w:cs="Times New Roman" w:eastAsia="Times New Roman" w:hAnsi="Times New Roman"/>
          <w:sz w:val="13"/>
          <w:szCs w:val="13"/>
          <w:color w:val="auto"/>
        </w:rPr>
      </w:pPr>
    </w:p>
    <w:p>
      <w:pPr>
        <w:ind w:left="2260" w:right="419" w:hanging="325"/>
        <w:spacing w:after="0" w:line="297" w:lineRule="auto"/>
        <w:tabs>
          <w:tab w:leader="none" w:pos="2260" w:val="left"/>
        </w:tabs>
        <w:numPr>
          <w:ilvl w:val="0"/>
          <w:numId w:val="9"/>
        </w:numPr>
        <w:rPr>
          <w:rFonts w:ascii="Times New Roman" w:cs="Times New Roman" w:eastAsia="Times New Roman" w:hAnsi="Times New Roman"/>
          <w:sz w:val="13"/>
          <w:szCs w:val="13"/>
          <w:color w:val="0000EE"/>
        </w:rPr>
      </w:pPr>
      <w:hyperlink r:id="rId52">
        <w:r>
          <w:rPr>
            <w:rFonts w:ascii="Times New Roman" w:cs="Times New Roman" w:eastAsia="Times New Roman" w:hAnsi="Times New Roman"/>
            <w:sz w:val="13"/>
            <w:szCs w:val="13"/>
            <w:color w:val="auto"/>
          </w:rPr>
          <w:t xml:space="preserve">the Company’s Current Reports on Form 8-K filed on </w:t>
        </w:r>
        <w:r>
          <w:rPr>
            <w:rFonts w:ascii="Times New Roman" w:cs="Times New Roman" w:eastAsia="Times New Roman" w:hAnsi="Times New Roman"/>
            <w:sz w:val="13"/>
            <w:szCs w:val="13"/>
            <w:u w:val="single" w:color="auto"/>
            <w:color w:val="0000EE"/>
          </w:rPr>
          <w:t>January 6, 2026</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0000EE"/>
          </w:rPr>
          <w:t>January 28, 2026</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0000EE"/>
          </w:rPr>
          <w:t>January 30, 2026</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0000EE"/>
          </w:rPr>
          <w:t>March 27, 2026</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0000EE"/>
          </w:rPr>
          <w:t>April 10,</w:t>
        </w:r>
      </w:hyperlink>
      <w:r>
        <w:rPr>
          <w:rFonts w:ascii="Times New Roman" w:cs="Times New Roman" w:eastAsia="Times New Roman" w:hAnsi="Times New Roman"/>
          <w:sz w:val="13"/>
          <w:szCs w:val="13"/>
          <w:color w:val="auto"/>
        </w:rPr>
        <w:t xml:space="preserve"> </w:t>
      </w:r>
      <w:hyperlink r:id="rId52">
        <w:r>
          <w:rPr>
            <w:rFonts w:ascii="Times New Roman" w:cs="Times New Roman" w:eastAsia="Times New Roman" w:hAnsi="Times New Roman"/>
            <w:sz w:val="13"/>
            <w:szCs w:val="13"/>
            <w:u w:val="single" w:color="auto"/>
            <w:color w:val="0000EE"/>
          </w:rPr>
          <w:t>2026</w:t>
        </w:r>
        <w:r>
          <w:rPr>
            <w:rFonts w:ascii="Times New Roman" w:cs="Times New Roman" w:eastAsia="Times New Roman" w:hAnsi="Times New Roman"/>
            <w:sz w:val="13"/>
            <w:szCs w:val="13"/>
            <w:color w:val="0000EE"/>
          </w:rPr>
          <w:t xml:space="preserve"> </w:t>
        </w:r>
        <w:r>
          <w:rPr>
            <w:rFonts w:ascii="Times New Roman" w:cs="Times New Roman" w:eastAsia="Times New Roman" w:hAnsi="Times New Roman"/>
            <w:sz w:val="13"/>
            <w:szCs w:val="13"/>
            <w:color w:val="000000"/>
          </w:rPr>
          <w:t>(in each case, excluding any information furnished and not filed with the SEC); and</w:t>
        </w:r>
      </w:hyperlink>
    </w:p>
    <w:p>
      <w:pPr>
        <w:spacing w:after="0" w:line="43" w:lineRule="exact"/>
        <w:rPr>
          <w:rFonts w:ascii="Times New Roman" w:cs="Times New Roman" w:eastAsia="Times New Roman" w:hAnsi="Times New Roman"/>
          <w:sz w:val="13"/>
          <w:szCs w:val="13"/>
          <w:color w:val="0000EE"/>
        </w:rPr>
      </w:pPr>
    </w:p>
    <w:p>
      <w:pPr>
        <w:ind w:left="2260" w:right="559" w:hanging="325"/>
        <w:spacing w:after="0" w:line="271" w:lineRule="auto"/>
        <w:tabs>
          <w:tab w:leader="none" w:pos="226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description of the Company’s Class A Common Stock contained in the Company’s Registration Statement on </w:t>
      </w:r>
      <w:hyperlink r:id="rId53">
        <w:r>
          <w:rPr>
            <w:rFonts w:ascii="Times New Roman" w:cs="Times New Roman" w:eastAsia="Times New Roman" w:hAnsi="Times New Roman"/>
            <w:sz w:val="13"/>
            <w:szCs w:val="13"/>
            <w:u w:val="single" w:color="auto"/>
            <w:color w:val="0000EE"/>
          </w:rPr>
          <w:t>Form 8-A</w:t>
        </w:r>
      </w:hyperlink>
      <w:r>
        <w:rPr>
          <w:rFonts w:ascii="Times New Roman" w:cs="Times New Roman" w:eastAsia="Times New Roman" w:hAnsi="Times New Roman"/>
          <w:sz w:val="13"/>
          <w:szCs w:val="13"/>
          <w:color w:val="auto"/>
        </w:rPr>
        <w:t xml:space="preserve">, filed on July 20, 2017, as the description therein has been updated and superseded by the description of capital stock contained in </w:t>
      </w:r>
      <w:hyperlink r:id="rId54">
        <w:r>
          <w:rPr>
            <w:rFonts w:ascii="Times New Roman" w:cs="Times New Roman" w:eastAsia="Times New Roman" w:hAnsi="Times New Roman"/>
            <w:sz w:val="13"/>
            <w:szCs w:val="13"/>
            <w:u w:val="single" w:color="auto"/>
            <w:color w:val="0000EE"/>
          </w:rPr>
          <w:t>Exhibit 99.1</w:t>
        </w:r>
        <w:r>
          <w:rPr>
            <w:rFonts w:ascii="Times New Roman" w:cs="Times New Roman" w:eastAsia="Times New Roman" w:hAnsi="Times New Roman"/>
            <w:sz w:val="13"/>
            <w:szCs w:val="13"/>
            <w:u w:val="single" w:color="auto"/>
            <w:color w:val="auto"/>
          </w:rPr>
          <w:t xml:space="preserve"> </w:t>
        </w:r>
      </w:hyperlink>
      <w:r>
        <w:rPr>
          <w:rFonts w:ascii="Times New Roman" w:cs="Times New Roman" w:eastAsia="Times New Roman" w:hAnsi="Times New Roman"/>
          <w:sz w:val="13"/>
          <w:szCs w:val="13"/>
          <w:color w:val="auto"/>
        </w:rPr>
        <w:t>to the Company’s Current Report on Form 8-K filed with the SEC on June 29, 2023, including any amendments or reports filed for the purpose of updating the description.</w:t>
      </w:r>
    </w:p>
    <w:p>
      <w:pPr>
        <w:spacing w:after="0" w:line="131" w:lineRule="exact"/>
        <w:rPr>
          <w:rFonts w:ascii="Times New Roman" w:cs="Times New Roman" w:eastAsia="Times New Roman" w:hAnsi="Times New Roman"/>
          <w:sz w:val="13"/>
          <w:szCs w:val="13"/>
          <w:color w:val="auto"/>
        </w:rPr>
      </w:pPr>
    </w:p>
    <w:p>
      <w:pPr>
        <w:ind w:left="1540" w:right="499" w:firstLine="329"/>
        <w:spacing w:after="0" w:line="271" w:lineRule="auto"/>
        <w:rPr>
          <w:sz w:val="20"/>
          <w:szCs w:val="20"/>
          <w:color w:val="auto"/>
        </w:rPr>
      </w:pPr>
      <w:r>
        <w:rPr>
          <w:rFonts w:ascii="Times New Roman" w:cs="Times New Roman" w:eastAsia="Times New Roman" w:hAnsi="Times New Roman"/>
          <w:sz w:val="13"/>
          <w:szCs w:val="13"/>
          <w:color w:val="auto"/>
        </w:rPr>
        <w:t>Any statement contained in a document incorporated or deemed to be incorporated by reference in this prospectus will be deemed to be modified or superseded to the extent that a statement contained herein or in any other subsequently filed document which also is or is deemed to be incorporated by reference in this prospectus modifies or supersedes that statement. Any statement so modified or superseded will not be deemed, except as so modified or superseded, to constitute a part of this prospectus.</w:t>
      </w:r>
    </w:p>
    <w:p>
      <w:pPr>
        <w:spacing w:after="0" w:line="131" w:lineRule="exact"/>
        <w:rPr>
          <w:rFonts w:ascii="Times New Roman" w:cs="Times New Roman" w:eastAsia="Times New Roman" w:hAnsi="Times New Roman"/>
          <w:sz w:val="13"/>
          <w:szCs w:val="13"/>
          <w:color w:val="auto"/>
        </w:rPr>
      </w:pPr>
    </w:p>
    <w:p>
      <w:pPr>
        <w:ind w:left="1540" w:right="579" w:firstLine="329"/>
        <w:spacing w:after="0" w:line="278" w:lineRule="auto"/>
        <w:rPr>
          <w:sz w:val="20"/>
          <w:szCs w:val="20"/>
          <w:color w:val="auto"/>
        </w:rPr>
      </w:pPr>
      <w:r>
        <w:rPr>
          <w:rFonts w:ascii="Times New Roman" w:cs="Times New Roman" w:eastAsia="Times New Roman" w:hAnsi="Times New Roman"/>
          <w:sz w:val="13"/>
          <w:szCs w:val="13"/>
          <w:color w:val="auto"/>
        </w:rPr>
        <w:t>You may request a copy of the registration statement, the above filings and any future filings that are incorporated by reference into this prospectus, other than an exhibit to a filing unless that exhibit is specifically incorporated by reference into that filing, at no cost, by writing or calling the Company at the following address:</w:t>
      </w:r>
    </w:p>
    <w:p>
      <w:pPr>
        <w:spacing w:after="0" w:line="125" w:lineRule="exact"/>
        <w:rPr>
          <w:rFonts w:ascii="Times New Roman" w:cs="Times New Roman" w:eastAsia="Times New Roman" w:hAnsi="Times New Roman"/>
          <w:sz w:val="13"/>
          <w:szCs w:val="13"/>
          <w:color w:val="auto"/>
        </w:rPr>
      </w:pPr>
    </w:p>
    <w:p>
      <w:pPr>
        <w:jc w:val="center"/>
        <w:ind w:right="-1120"/>
        <w:spacing w:after="0"/>
        <w:rPr>
          <w:sz w:val="20"/>
          <w:szCs w:val="20"/>
          <w:color w:val="auto"/>
        </w:rPr>
      </w:pPr>
      <w:r>
        <w:rPr>
          <w:rFonts w:ascii="Times New Roman" w:cs="Times New Roman" w:eastAsia="Times New Roman" w:hAnsi="Times New Roman"/>
          <w:sz w:val="13"/>
          <w:szCs w:val="13"/>
          <w:color w:val="auto"/>
        </w:rPr>
        <w:t>6455 Nancy Ridge Drive</w:t>
      </w:r>
    </w:p>
    <w:p>
      <w:pPr>
        <w:spacing w:after="0" w:line="24" w:lineRule="exact"/>
        <w:rPr>
          <w:rFonts w:ascii="Times New Roman" w:cs="Times New Roman" w:eastAsia="Times New Roman" w:hAnsi="Times New Roman"/>
          <w:sz w:val="13"/>
          <w:szCs w:val="13"/>
          <w:color w:val="auto"/>
        </w:rPr>
      </w:pPr>
    </w:p>
    <w:p>
      <w:pPr>
        <w:jc w:val="center"/>
        <w:ind w:right="-1120"/>
        <w:spacing w:after="0"/>
        <w:rPr>
          <w:sz w:val="20"/>
          <w:szCs w:val="20"/>
          <w:color w:val="auto"/>
        </w:rPr>
      </w:pPr>
      <w:r>
        <w:rPr>
          <w:rFonts w:ascii="Times New Roman" w:cs="Times New Roman" w:eastAsia="Times New Roman" w:hAnsi="Times New Roman"/>
          <w:sz w:val="13"/>
          <w:szCs w:val="13"/>
          <w:color w:val="auto"/>
        </w:rPr>
        <w:t>San Diego, CA 92121</w:t>
      </w:r>
    </w:p>
    <w:p>
      <w:pPr>
        <w:spacing w:after="0" w:line="12" w:lineRule="exact"/>
        <w:rPr>
          <w:rFonts w:ascii="Times New Roman" w:cs="Times New Roman" w:eastAsia="Times New Roman" w:hAnsi="Times New Roman"/>
          <w:sz w:val="13"/>
          <w:szCs w:val="13"/>
          <w:color w:val="auto"/>
        </w:rPr>
      </w:pPr>
    </w:p>
    <w:p>
      <w:pPr>
        <w:jc w:val="center"/>
        <w:ind w:right="-1120"/>
        <w:spacing w:after="0"/>
        <w:rPr>
          <w:sz w:val="20"/>
          <w:szCs w:val="20"/>
          <w:color w:val="auto"/>
        </w:rPr>
      </w:pPr>
      <w:r>
        <w:rPr>
          <w:rFonts w:ascii="Times New Roman" w:cs="Times New Roman" w:eastAsia="Times New Roman" w:hAnsi="Times New Roman"/>
          <w:sz w:val="13"/>
          <w:szCs w:val="13"/>
          <w:color w:val="auto"/>
        </w:rPr>
        <w:t>Telephone: (858) 450-0008</w:t>
      </w:r>
    </w:p>
    <w:p>
      <w:pPr>
        <w:spacing w:after="0" w:line="12" w:lineRule="exact"/>
        <w:rPr>
          <w:rFonts w:ascii="Times New Roman" w:cs="Times New Roman" w:eastAsia="Times New Roman" w:hAnsi="Times New Roman"/>
          <w:sz w:val="13"/>
          <w:szCs w:val="13"/>
          <w:color w:val="auto"/>
        </w:rPr>
      </w:pPr>
    </w:p>
    <w:p>
      <w:pPr>
        <w:jc w:val="center"/>
        <w:ind w:right="-1120"/>
        <w:spacing w:after="0"/>
        <w:rPr>
          <w:sz w:val="20"/>
          <w:szCs w:val="20"/>
          <w:color w:val="auto"/>
        </w:rPr>
      </w:pPr>
      <w:r>
        <w:rPr>
          <w:rFonts w:ascii="Times New Roman" w:cs="Times New Roman" w:eastAsia="Times New Roman" w:hAnsi="Times New Roman"/>
          <w:sz w:val="13"/>
          <w:szCs w:val="13"/>
          <w:color w:val="auto"/>
        </w:rPr>
        <w:t>Attention: Investor Relations</w:t>
      </w:r>
    </w:p>
    <w:p>
      <w:pPr>
        <w:spacing w:after="0" w:line="110" w:lineRule="exact"/>
        <w:rPr>
          <w:rFonts w:ascii="Times New Roman" w:cs="Times New Roman" w:eastAsia="Times New Roman" w:hAnsi="Times New Roman"/>
          <w:sz w:val="13"/>
          <w:szCs w:val="13"/>
          <w:color w:val="auto"/>
        </w:rPr>
      </w:pPr>
    </w:p>
    <w:p>
      <w:pPr>
        <w:ind w:left="5580"/>
        <w:spacing w:after="0"/>
        <w:rPr>
          <w:sz w:val="20"/>
          <w:szCs w:val="20"/>
          <w:color w:val="auto"/>
        </w:rPr>
      </w:pPr>
      <w:r>
        <w:rPr>
          <w:rFonts w:ascii="Times New Roman" w:cs="Times New Roman" w:eastAsia="Times New Roman" w:hAnsi="Times New Roman"/>
          <w:sz w:val="13"/>
          <w:szCs w:val="13"/>
          <w:color w:val="auto"/>
        </w:rPr>
        <w:t>23</w:t>
      </w:r>
    </w:p>
    <w:p>
      <w:pPr>
        <w:sectPr>
          <w:pgSz w:w="11900" w:h="16838" w:orient="portrait"/>
          <w:cols w:equalWidth="0" w:num="1">
            <w:col w:w="10159"/>
          </w:cols>
          <w:pgMar w:left="300" w:top="375" w:right="1440"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5">
                      <a:extLst>
                        <a:ext uri="{28A0092B-C50C-407E-A947-70E740481C1C}"/>
                      </a:extLst>
                    </a:blip>
                    <a:srcRect/>
                    <a:stretch>
                      <a:fillRect/>
                    </a:stretch>
                  </pic:blipFill>
                  <pic:spPr bwMode="auto">
                    <a:xfrm>
                      <a:off x="0" y="0"/>
                      <a:ext cx="7205345" cy="3175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972820</wp:posOffset>
            </wp:positionH>
            <wp:positionV relativeFrom="paragraph">
              <wp:posOffset>184785</wp:posOffset>
            </wp:positionV>
            <wp:extent cx="5221605" cy="127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6">
                      <a:extLst>
                        <a:ext uri="{28A0092B-C50C-407E-A947-70E740481C1C}"/>
                      </a:extLst>
                    </a:blip>
                    <a:srcRect/>
                    <a:stretch>
                      <a:fillRect/>
                    </a:stretch>
                  </pic:blipFill>
                  <pic:spPr bwMode="auto">
                    <a:xfrm>
                      <a:off x="0" y="0"/>
                      <a:ext cx="5221605" cy="12700"/>
                    </a:xfrm>
                    <a:prstGeom prst="rect">
                      <a:avLst/>
                    </a:prstGeom>
                    <a:noFill/>
                  </pic:spPr>
                </pic:pic>
              </a:graphicData>
            </a:graphic>
          </wp:anchor>
        </w:drawing>
        <w:drawing>
          <wp:anchor simplePos="0" relativeHeight="251657728" behindDoc="1" locked="0" layoutInCell="0" allowOverlap="1">
            <wp:simplePos x="0" y="0"/>
            <wp:positionH relativeFrom="column">
              <wp:posOffset>972820</wp:posOffset>
            </wp:positionH>
            <wp:positionV relativeFrom="paragraph">
              <wp:posOffset>222885</wp:posOffset>
            </wp:positionV>
            <wp:extent cx="5221605" cy="63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7">
                      <a:extLst>
                        <a:ext uri="{28A0092B-C50C-407E-A947-70E740481C1C}"/>
                      </a:extLst>
                    </a:blip>
                    <a:srcRect/>
                    <a:stretch>
                      <a:fillRect/>
                    </a:stretch>
                  </pic:blipFill>
                  <pic:spPr bwMode="auto">
                    <a:xfrm>
                      <a:off x="0" y="0"/>
                      <a:ext cx="5221605" cy="6350"/>
                    </a:xfrm>
                    <a:prstGeom prst="rect">
                      <a:avLst/>
                    </a:prstGeom>
                    <a:noFill/>
                  </pic:spPr>
                </pic:pic>
              </a:graphicData>
            </a:graphic>
          </wp:anchor>
        </w:drawing>
        <w:drawing>
          <wp:anchor simplePos="0" relativeHeight="251657728" behindDoc="1" locked="0" layoutInCell="0" allowOverlap="1">
            <wp:simplePos x="0" y="0"/>
            <wp:positionH relativeFrom="column">
              <wp:posOffset>2700655</wp:posOffset>
            </wp:positionH>
            <wp:positionV relativeFrom="paragraph">
              <wp:posOffset>485140</wp:posOffset>
            </wp:positionV>
            <wp:extent cx="1765935" cy="5118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8">
                      <a:extLst>
                        <a:ext uri="{28A0092B-C50C-407E-A947-70E740481C1C}"/>
                      </a:extLst>
                    </a:blip>
                    <a:srcRect/>
                    <a:stretch>
                      <a:fillRect/>
                    </a:stretch>
                  </pic:blipFill>
                  <pic:spPr bwMode="auto">
                    <a:xfrm>
                      <a:off x="0" y="0"/>
                      <a:ext cx="1765935" cy="511810"/>
                    </a:xfrm>
                    <a:prstGeom prst="rect">
                      <a:avLst/>
                    </a:prstGeom>
                    <a:noFill/>
                  </pic:spPr>
                </pic:pic>
              </a:graphicData>
            </a:graphic>
          </wp:anchor>
        </w:drawing>
      </w:r>
    </w:p>
    <w:p>
      <w:pPr>
        <w:sectPr>
          <w:pgSz w:w="11900" w:h="16838" w:orient="portrait"/>
          <w:cols w:equalWidth="0" w:num="1">
            <w:col w:w="10159"/>
          </w:cols>
          <w:pgMar w:left="300" w:top="37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32"/>
          <w:szCs w:val="32"/>
          <w:b w:val="1"/>
          <w:bCs w:val="1"/>
          <w:color w:val="auto"/>
        </w:rPr>
        <w:t>Cibus,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3033395</wp:posOffset>
            </wp:positionH>
            <wp:positionV relativeFrom="paragraph">
              <wp:posOffset>321310</wp:posOffset>
            </wp:positionV>
            <wp:extent cx="1100455" cy="63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9">
                      <a:extLst>
                        <a:ext uri="{28A0092B-C50C-407E-A947-70E740481C1C}"/>
                      </a:extLst>
                    </a:blip>
                    <a:srcRect/>
                    <a:stretch>
                      <a:fillRect/>
                    </a:stretch>
                  </pic:blipFill>
                  <pic:spPr bwMode="auto">
                    <a:xfrm>
                      <a:off x="0" y="0"/>
                      <a:ext cx="1100455"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$200,000,000</w:t>
      </w:r>
    </w:p>
    <w:p>
      <w:pPr>
        <w:spacing w:after="0" w:line="2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Class A Common Stock</w:t>
      </w:r>
    </w:p>
    <w:p>
      <w:pPr>
        <w:spacing w:after="0" w:line="1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Preferred Stock</w:t>
      </w:r>
    </w:p>
    <w:p>
      <w:pPr>
        <w:spacing w:after="0" w:line="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Depositary Shares</w:t>
      </w:r>
    </w:p>
    <w:p>
      <w:pPr>
        <w:spacing w:after="0" w:line="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Warrants</w:t>
      </w:r>
    </w:p>
    <w:p>
      <w:pPr>
        <w:spacing w:after="0" w:line="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Subscription Rights</w:t>
      </w:r>
    </w:p>
    <w:p>
      <w:pPr>
        <w:spacing w:after="0" w:line="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3033395</wp:posOffset>
            </wp:positionH>
            <wp:positionV relativeFrom="paragraph">
              <wp:posOffset>287655</wp:posOffset>
            </wp:positionV>
            <wp:extent cx="1100455" cy="63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0">
                      <a:extLst>
                        <a:ext uri="{28A0092B-C50C-407E-A947-70E740481C1C}"/>
                      </a:extLst>
                    </a:blip>
                    <a:srcRect/>
                    <a:stretch>
                      <a:fillRect/>
                    </a:stretch>
                  </pic:blipFill>
                  <pic:spPr bwMode="auto">
                    <a:xfrm>
                      <a:off x="0" y="0"/>
                      <a:ext cx="1100455" cy="6350"/>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9"/>
          <w:szCs w:val="19"/>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3033395</wp:posOffset>
            </wp:positionH>
            <wp:positionV relativeFrom="paragraph">
              <wp:posOffset>180975</wp:posOffset>
            </wp:positionV>
            <wp:extent cx="1100455" cy="63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1">
                      <a:extLst>
                        <a:ext uri="{28A0092B-C50C-407E-A947-70E740481C1C}"/>
                      </a:extLst>
                    </a:blip>
                    <a:srcRect/>
                    <a:stretch>
                      <a:fillRect/>
                    </a:stretch>
                  </pic:blipFill>
                  <pic:spPr bwMode="auto">
                    <a:xfrm>
                      <a:off x="0" y="0"/>
                      <a:ext cx="1100455"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b w:val="1"/>
          <w:bCs w:val="1"/>
          <w:color w:val="auto"/>
        </w:rPr>
        <w:t>         ,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972820</wp:posOffset>
            </wp:positionH>
            <wp:positionV relativeFrom="paragraph">
              <wp:posOffset>325120</wp:posOffset>
            </wp:positionV>
            <wp:extent cx="5221605" cy="63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2">
                      <a:extLst>
                        <a:ext uri="{28A0092B-C50C-407E-A947-70E740481C1C}"/>
                      </a:extLst>
                    </a:blip>
                    <a:srcRect/>
                    <a:stretch>
                      <a:fillRect/>
                    </a:stretch>
                  </pic:blipFill>
                  <pic:spPr bwMode="auto">
                    <a:xfrm>
                      <a:off x="0" y="0"/>
                      <a:ext cx="5221605" cy="6350"/>
                    </a:xfrm>
                    <a:prstGeom prst="rect">
                      <a:avLst/>
                    </a:prstGeom>
                    <a:noFill/>
                  </pic:spPr>
                </pic:pic>
              </a:graphicData>
            </a:graphic>
          </wp:anchor>
        </w:drawing>
        <w:drawing>
          <wp:anchor simplePos="0" relativeHeight="251657728" behindDoc="1" locked="0" layoutInCell="0" allowOverlap="1">
            <wp:simplePos x="0" y="0"/>
            <wp:positionH relativeFrom="column">
              <wp:posOffset>972820</wp:posOffset>
            </wp:positionH>
            <wp:positionV relativeFrom="paragraph">
              <wp:posOffset>376555</wp:posOffset>
            </wp:positionV>
            <wp:extent cx="5221605" cy="127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3">
                      <a:extLst>
                        <a:ext uri="{28A0092B-C50C-407E-A947-70E740481C1C}"/>
                      </a:extLst>
                    </a:blip>
                    <a:srcRect/>
                    <a:stretch>
                      <a:fillRect/>
                    </a:stretch>
                  </pic:blipFill>
                  <pic:spPr bwMode="auto">
                    <a:xfrm>
                      <a:off x="0" y="0"/>
                      <a:ext cx="5221605" cy="12700"/>
                    </a:xfrm>
                    <a:prstGeom prst="rect">
                      <a:avLst/>
                    </a:prstGeom>
                    <a:noFill/>
                  </pic:spPr>
                </pic:pic>
              </a:graphicData>
            </a:graphic>
          </wp:anchor>
        </w:drawing>
      </w:r>
    </w:p>
    <w:p>
      <w:pPr>
        <w:sectPr>
          <w:pgSz w:w="11900" w:h="16838" w:orient="portrait"/>
          <w:cols w:equalWidth="0" w:num="1">
            <w:col w:w="10159"/>
          </w:cols>
          <w:pgMar w:left="300" w:top="375" w:right="1440"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305" w:lineRule="exact"/>
        <w:rPr>
          <w:sz w:val="20"/>
          <w:szCs w:val="20"/>
          <w:color w:val="auto"/>
        </w:rPr>
      </w:pPr>
    </w:p>
    <w:tbl>
      <w:tblPr>
        <w:tblLayout w:type="fixed"/>
        <w:tblInd w:w="1540" w:type="dxa"/>
        <w:tblCellMar>
          <w:top w:w="0" w:type="dxa"/>
          <w:left w:w="0" w:type="dxa"/>
          <w:bottom w:w="0" w:type="dxa"/>
          <w:right w:w="0" w:type="dxa"/>
        </w:tblCellMar>
      </w:tblPr>
      <w:tr>
        <w:trPr>
          <w:trHeight w:val="8464"/>
        </w:trPr>
        <w:tc>
          <w:tcPr>
            <w:tcW w:w="120" w:type="dxa"/>
            <w:vAlign w:val="bottom"/>
            <w:textDirection w:val="btLr"/>
          </w:tcPr>
          <w:p>
            <w:pPr>
              <w:spacing w:after="0"/>
              <w:rPr>
                <w:sz w:val="20"/>
                <w:szCs w:val="20"/>
                <w:color w:val="auto"/>
              </w:rPr>
            </w:pPr>
            <w:r>
              <w:rPr>
                <w:rFonts w:ascii="Arial" w:cs="Arial" w:eastAsia="Arial" w:hAnsi="Arial"/>
                <w:sz w:val="13"/>
                <w:szCs w:val="13"/>
                <w:b w:val="1"/>
                <w:bCs w:val="1"/>
                <w:color w:val="FF4338"/>
              </w:rPr>
              <w:t>information in this prospectus supplement is not complete and may be changed. The Company may not sell these securities until</w:t>
            </w:r>
          </w:p>
        </w:tc>
        <w:tc>
          <w:tcPr>
            <w:tcW w:w="160" w:type="dxa"/>
            <w:vAlign w:val="bottom"/>
            <w:textDirection w:val="btLr"/>
          </w:tcPr>
          <w:p>
            <w:pPr>
              <w:ind w:left="11"/>
              <w:spacing w:after="0"/>
              <w:rPr>
                <w:sz w:val="20"/>
                <w:szCs w:val="20"/>
                <w:color w:val="auto"/>
              </w:rPr>
            </w:pPr>
            <w:r>
              <w:rPr>
                <w:rFonts w:ascii="Arial" w:cs="Arial" w:eastAsia="Arial" w:hAnsi="Arial"/>
                <w:sz w:val="13"/>
                <w:szCs w:val="13"/>
                <w:b w:val="1"/>
                <w:bCs w:val="1"/>
                <w:color w:val="FF4338"/>
              </w:rPr>
              <w:t>registration statement filed with the Securities and Exchange Commission is effective. This prospectus supplement is not an offer to</w:t>
            </w:r>
          </w:p>
        </w:tc>
        <w:tc>
          <w:tcPr>
            <w:tcW w:w="140" w:type="dxa"/>
            <w:vAlign w:val="bottom"/>
            <w:textDirection w:val="btLr"/>
          </w:tcPr>
          <w:p>
            <w:pPr>
              <w:spacing w:after="0"/>
              <w:rPr>
                <w:sz w:val="20"/>
                <w:szCs w:val="20"/>
                <w:color w:val="auto"/>
              </w:rPr>
            </w:pPr>
            <w:r>
              <w:rPr>
                <w:rFonts w:ascii="Arial" w:cs="Arial" w:eastAsia="Arial" w:hAnsi="Arial"/>
                <w:sz w:val="13"/>
                <w:szCs w:val="13"/>
                <w:b w:val="1"/>
                <w:bCs w:val="1"/>
                <w:color w:val="FF4338"/>
              </w:rPr>
              <w:t>these securities and is not soliciting an offer to buy these securities in any jurisdiction where the offer or sale is not permitted.</w:t>
            </w:r>
          </w:p>
        </w:tc>
      </w:tr>
      <w:tr>
        <w:trPr>
          <w:trHeight w:val="239"/>
        </w:trPr>
        <w:tc>
          <w:tcPr>
            <w:tcW w:w="120" w:type="dxa"/>
            <w:vAlign w:val="bottom"/>
            <w:textDirection w:val="btLr"/>
          </w:tcPr>
          <w:p>
            <w:pPr>
              <w:spacing w:after="0"/>
              <w:rPr>
                <w:sz w:val="20"/>
                <w:szCs w:val="20"/>
                <w:color w:val="auto"/>
              </w:rPr>
            </w:pPr>
            <w:r>
              <w:rPr>
                <w:rFonts w:ascii="Arial" w:cs="Arial" w:eastAsia="Arial" w:hAnsi="Arial"/>
                <w:sz w:val="13"/>
                <w:szCs w:val="13"/>
                <w:b w:val="1"/>
                <w:bCs w:val="1"/>
                <w:color w:val="FF4338"/>
              </w:rPr>
              <w:t>The</w:t>
            </w:r>
          </w:p>
        </w:tc>
        <w:tc>
          <w:tcPr>
            <w:tcW w:w="160" w:type="dxa"/>
            <w:vAlign w:val="bottom"/>
            <w:textDirection w:val="btLr"/>
          </w:tcPr>
          <w:p>
            <w:pPr>
              <w:ind w:left="11"/>
              <w:spacing w:after="0"/>
              <w:rPr>
                <w:sz w:val="20"/>
                <w:szCs w:val="20"/>
                <w:color w:val="auto"/>
              </w:rPr>
            </w:pPr>
            <w:r>
              <w:rPr>
                <w:rFonts w:ascii="Arial" w:cs="Arial" w:eastAsia="Arial" w:hAnsi="Arial"/>
                <w:sz w:val="13"/>
                <w:szCs w:val="13"/>
                <w:b w:val="1"/>
                <w:bCs w:val="1"/>
                <w:color w:val="FF4338"/>
              </w:rPr>
              <w:t>the</w:t>
            </w:r>
          </w:p>
        </w:tc>
        <w:tc>
          <w:tcPr>
            <w:tcW w:w="140" w:type="dxa"/>
            <w:vAlign w:val="bottom"/>
            <w:textDirection w:val="btLr"/>
          </w:tcPr>
          <w:p>
            <w:pPr>
              <w:spacing w:after="0"/>
              <w:rPr>
                <w:sz w:val="20"/>
                <w:szCs w:val="20"/>
                <w:color w:val="auto"/>
              </w:rPr>
            </w:pPr>
            <w:r>
              <w:rPr>
                <w:rFonts w:ascii="Arial" w:cs="Arial" w:eastAsia="Arial" w:hAnsi="Arial"/>
                <w:sz w:val="13"/>
                <w:szCs w:val="13"/>
                <w:b w:val="1"/>
                <w:bCs w:val="1"/>
                <w:color w:val="FF4338"/>
              </w:rPr>
              <w:t>sell</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3"/>
          <w:szCs w:val="13"/>
          <w:b w:val="1"/>
          <w:bCs w:val="1"/>
          <w:color w:val="FF4338"/>
        </w:rPr>
        <w:t>SUBJECT TO COMPLETION, DATED MAY 15,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-1395730</wp:posOffset>
            </wp:positionH>
            <wp:positionV relativeFrom="paragraph">
              <wp:posOffset>-563880</wp:posOffset>
            </wp:positionV>
            <wp:extent cx="7205345" cy="317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4">
                      <a:extLst>
                        <a:ext uri="{28A0092B-C50C-407E-A947-70E740481C1C}"/>
                      </a:extLst>
                    </a:blip>
                    <a:srcRect/>
                    <a:stretch>
                      <a:fillRect/>
                    </a:stretch>
                  </pic:blipFill>
                  <pic:spPr bwMode="auto">
                    <a:xfrm>
                      <a:off x="0" y="0"/>
                      <a:ext cx="7205345" cy="31750"/>
                    </a:xfrm>
                    <a:prstGeom prst="rect">
                      <a:avLst/>
                    </a:prstGeom>
                    <a:noFill/>
                  </pic:spPr>
                </pic:pic>
              </a:graphicData>
            </a:graphic>
          </wp:anchor>
        </w:drawing>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1316355</wp:posOffset>
            </wp:positionH>
            <wp:positionV relativeFrom="paragraph">
              <wp:posOffset>133350</wp:posOffset>
            </wp:positionV>
            <wp:extent cx="1765935" cy="5118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5">
                      <a:extLst>
                        <a:ext uri="{28A0092B-C50C-407E-A947-70E740481C1C}"/>
                      </a:extLst>
                    </a:blip>
                    <a:srcRect/>
                    <a:stretch>
                      <a:fillRect/>
                    </a:stretch>
                  </pic:blipFill>
                  <pic:spPr bwMode="auto">
                    <a:xfrm>
                      <a:off x="0" y="0"/>
                      <a:ext cx="1765935" cy="511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059"/>
        <w:spacing w:after="0"/>
        <w:rPr>
          <w:sz w:val="20"/>
          <w:szCs w:val="20"/>
          <w:color w:val="auto"/>
        </w:rPr>
      </w:pPr>
      <w:r>
        <w:rPr>
          <w:rFonts w:ascii="Times New Roman" w:cs="Times New Roman" w:eastAsia="Times New Roman" w:hAnsi="Times New Roman"/>
          <w:sz w:val="19"/>
          <w:szCs w:val="19"/>
          <w:b w:val="1"/>
          <w:bCs w:val="1"/>
          <w:color w:val="auto"/>
        </w:rPr>
        <w:t>Up to $50,000,000</w:t>
      </w:r>
    </w:p>
    <w:p>
      <w:pPr>
        <w:spacing w:after="0" w:line="134" w:lineRule="exact"/>
        <w:rPr>
          <w:sz w:val="20"/>
          <w:szCs w:val="20"/>
          <w:color w:val="auto"/>
        </w:rPr>
      </w:pPr>
    </w:p>
    <w:p>
      <w:pPr>
        <w:jc w:val="center"/>
        <w:ind w:right="1059"/>
        <w:spacing w:after="0"/>
        <w:rPr>
          <w:sz w:val="20"/>
          <w:szCs w:val="20"/>
          <w:color w:val="auto"/>
        </w:rPr>
      </w:pPr>
      <w:r>
        <w:rPr>
          <w:rFonts w:ascii="Times New Roman" w:cs="Times New Roman" w:eastAsia="Times New Roman" w:hAnsi="Times New Roman"/>
          <w:sz w:val="19"/>
          <w:szCs w:val="19"/>
          <w:b w:val="1"/>
          <w:bCs w:val="1"/>
          <w:color w:val="auto"/>
        </w:rPr>
        <w:t>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1738630</wp:posOffset>
            </wp:positionH>
            <wp:positionV relativeFrom="paragraph">
              <wp:posOffset>168275</wp:posOffset>
            </wp:positionV>
            <wp:extent cx="921385" cy="63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6">
                      <a:extLst>
                        <a:ext uri="{28A0092B-C50C-407E-A947-70E740481C1C}"/>
                      </a:extLst>
                    </a:blip>
                    <a:srcRect/>
                    <a:stretch>
                      <a:fillRect/>
                    </a:stretch>
                  </pic:blipFill>
                  <pic:spPr bwMode="auto">
                    <a:xfrm>
                      <a:off x="0" y="0"/>
                      <a:ext cx="921385" cy="6350"/>
                    </a:xfrm>
                    <a:prstGeom prst="rect">
                      <a:avLst/>
                    </a:prstGeom>
                    <a:noFill/>
                  </pic:spPr>
                </pic:pic>
              </a:graphicData>
            </a:graphic>
          </wp:anchor>
        </w:drawing>
      </w:r>
    </w:p>
    <w:p>
      <w:pPr>
        <w:spacing w:after="0" w:line="384" w:lineRule="exact"/>
        <w:rPr>
          <w:sz w:val="20"/>
          <w:szCs w:val="20"/>
          <w:color w:val="auto"/>
        </w:rPr>
      </w:pPr>
    </w:p>
    <w:p>
      <w:pPr>
        <w:ind w:right="1099" w:firstLine="277"/>
        <w:spacing w:after="0" w:line="237" w:lineRule="auto"/>
        <w:rPr>
          <w:sz w:val="20"/>
          <w:szCs w:val="20"/>
          <w:color w:val="auto"/>
        </w:rPr>
      </w:pPr>
      <w:r>
        <w:rPr>
          <w:rFonts w:ascii="Times New Roman" w:cs="Times New Roman" w:eastAsia="Times New Roman" w:hAnsi="Times New Roman"/>
          <w:sz w:val="13"/>
          <w:szCs w:val="13"/>
          <w:color w:val="auto"/>
        </w:rPr>
        <w:t>Cibus, Inc. has entered into an Open Market Sale Agreement</w:t>
      </w:r>
      <w:r>
        <w:rPr>
          <w:rFonts w:ascii="Times New Roman" w:cs="Times New Roman" w:eastAsia="Times New Roman" w:hAnsi="Times New Roman"/>
          <w:sz w:val="20"/>
          <w:szCs w:val="20"/>
          <w:color w:val="auto"/>
          <w:vertAlign w:val="superscript"/>
        </w:rPr>
        <w:t>SM</w:t>
      </w:r>
      <w:r>
        <w:rPr>
          <w:rFonts w:ascii="Times New Roman" w:cs="Times New Roman" w:eastAsia="Times New Roman" w:hAnsi="Times New Roman"/>
          <w:sz w:val="13"/>
          <w:szCs w:val="13"/>
          <w:color w:val="auto"/>
        </w:rPr>
        <w:t>, or the Sales Agreement, with Jefferies LLC, or Jefferies, relating to the sale of shares of its Class A Common Stock, par value $0.0001 per share, or the Class A Common Stock, offered by this prospectus supplement and the accompanying prospectus. In accordance with the terms of the Sales Agreement, Cibus may, pursuant to this prospectus supplement and the accompanying prospectus, offer and sell shares of Cibus’ Class A Common Stock having an aggregate offering price of up to $50,000,000 from time to time through Jefferies, acting as agent.</w:t>
      </w:r>
    </w:p>
    <w:p>
      <w:pPr>
        <w:spacing w:after="0" w:line="120" w:lineRule="exact"/>
        <w:rPr>
          <w:sz w:val="20"/>
          <w:szCs w:val="20"/>
          <w:color w:val="auto"/>
        </w:rPr>
      </w:pPr>
    </w:p>
    <w:p>
      <w:pPr>
        <w:ind w:right="1079" w:firstLine="277"/>
        <w:spacing w:after="0" w:line="297" w:lineRule="auto"/>
        <w:rPr>
          <w:sz w:val="20"/>
          <w:szCs w:val="20"/>
          <w:color w:val="auto"/>
        </w:rPr>
      </w:pPr>
      <w:r>
        <w:rPr>
          <w:rFonts w:ascii="Times New Roman" w:cs="Times New Roman" w:eastAsia="Times New Roman" w:hAnsi="Times New Roman"/>
          <w:sz w:val="13"/>
          <w:szCs w:val="13"/>
          <w:color w:val="auto"/>
        </w:rPr>
        <w:t>The Company’s Class A Common Stock is listed on the Nasdaq Capital Market, or Nasdaq, under the symbol “CBUS.” On May 14, 2026, the last reported sale price of Cibus’ Class A Common Stock on Nasdaq was $1.41 per share.</w:t>
      </w:r>
    </w:p>
    <w:p>
      <w:pPr>
        <w:spacing w:after="0" w:line="84" w:lineRule="exact"/>
        <w:rPr>
          <w:sz w:val="20"/>
          <w:szCs w:val="20"/>
          <w:color w:val="auto"/>
        </w:rPr>
      </w:pPr>
    </w:p>
    <w:p>
      <w:pPr>
        <w:ind w:right="1079" w:firstLine="277"/>
        <w:spacing w:after="0" w:line="266" w:lineRule="auto"/>
        <w:rPr>
          <w:sz w:val="20"/>
          <w:szCs w:val="20"/>
          <w:color w:val="auto"/>
        </w:rPr>
      </w:pPr>
      <w:r>
        <w:rPr>
          <w:rFonts w:ascii="Times New Roman" w:cs="Times New Roman" w:eastAsia="Times New Roman" w:hAnsi="Times New Roman"/>
          <w:sz w:val="13"/>
          <w:szCs w:val="13"/>
          <w:color w:val="auto"/>
        </w:rPr>
        <w:t>Sales of Cibus’ Class A Common Stock, if any, under this prospectus supplement and the accompanying prospectus will be made in sales deemed to be “at the market offerings” as defined in Rule 415(a)(4) promulgated under the Securities Act of 1933, or the Securities Act. Jefferies is not required to sell any specific amount of Cibus’ Class A Common Stock, but will act as the Company’s sales agent and use commercially reasonable efforts to sell on Cibus’ behalf all of the shares of Class A Common Stock requested to be sold by Cibus, consistent with its normal trading and sales practices, on mutually agreed terms between Jefferies and Cibus. There is no arrangement for funds to be received in any escrow, trust or similar arrangement.</w:t>
      </w:r>
    </w:p>
    <w:p>
      <w:pPr>
        <w:spacing w:after="0" w:line="114" w:lineRule="exact"/>
        <w:rPr>
          <w:sz w:val="20"/>
          <w:szCs w:val="20"/>
          <w:color w:val="auto"/>
        </w:rPr>
      </w:pPr>
    </w:p>
    <w:p>
      <w:pPr>
        <w:ind w:right="1239" w:firstLine="277"/>
        <w:spacing w:after="0" w:line="271" w:lineRule="auto"/>
        <w:rPr>
          <w:sz w:val="20"/>
          <w:szCs w:val="20"/>
          <w:color w:val="auto"/>
        </w:rPr>
      </w:pPr>
      <w:r>
        <w:rPr>
          <w:rFonts w:ascii="Times New Roman" w:cs="Times New Roman" w:eastAsia="Times New Roman" w:hAnsi="Times New Roman"/>
          <w:sz w:val="13"/>
          <w:szCs w:val="13"/>
          <w:color w:val="auto"/>
        </w:rPr>
        <w:t>Cibus also may sell shares of its Class A Common Stock to Jefferies, as principal for Jefferies’ own account, including a block trade, at a price per share of Cibus’ Class A Common Stock agreed upon at the time of sale. If Cibus sells shares of Class A Common Stock to Jefferies, as principal, Cibus will enter into a separate terms agreement with Jefferies, and the Company will describe the agreement in a separate prospectus supplement or pricing supplement.</w:t>
      </w:r>
    </w:p>
    <w:p>
      <w:pPr>
        <w:spacing w:after="0" w:line="101" w:lineRule="exact"/>
        <w:rPr>
          <w:sz w:val="20"/>
          <w:szCs w:val="20"/>
          <w:color w:val="auto"/>
        </w:rPr>
      </w:pPr>
    </w:p>
    <w:p>
      <w:pPr>
        <w:ind w:right="1079" w:firstLine="277"/>
        <w:spacing w:after="0" w:line="266" w:lineRule="auto"/>
        <w:rPr>
          <w:sz w:val="20"/>
          <w:szCs w:val="20"/>
          <w:color w:val="auto"/>
        </w:rPr>
      </w:pPr>
      <w:r>
        <w:rPr>
          <w:rFonts w:ascii="Times New Roman" w:cs="Times New Roman" w:eastAsia="Times New Roman" w:hAnsi="Times New Roman"/>
          <w:sz w:val="13"/>
          <w:szCs w:val="13"/>
          <w:color w:val="auto"/>
        </w:rPr>
        <w:t>Jefferies will be entitled to compensation under the terms of the Sales Agreement at a commission rate equal to 3.0% of the gross sales price per share of Class A Common Stock sold. See “Plan of Distribution” beginning on page S-19 for additional information regarding Jefferies’ compensation. In connection with the sale of shares of Class A Common Stock on Cibus’ behalf, Jefferies will be deemed to be an “underwriter” within the meaning of the Securities Act and the compensation of Jefferies will be deemed to be underwriting commissions or discounts. Cibus has also agreed to provide indemnification and contribution to Jefferies with respect to certain liabilities, including liabilities under the Securities Act or the Exchange Act of 1934, or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1738630</wp:posOffset>
            </wp:positionH>
            <wp:positionV relativeFrom="paragraph">
              <wp:posOffset>247015</wp:posOffset>
            </wp:positionV>
            <wp:extent cx="921385" cy="63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7">
                      <a:extLst>
                        <a:ext uri="{28A0092B-C50C-407E-A947-70E740481C1C}"/>
                      </a:extLst>
                    </a:blip>
                    <a:srcRect/>
                    <a:stretch>
                      <a:fillRect/>
                    </a:stretch>
                  </pic:blipFill>
                  <pic:spPr bwMode="auto">
                    <a:xfrm>
                      <a:off x="0" y="0"/>
                      <a:ext cx="921385" cy="6350"/>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jc w:val="both"/>
        <w:ind w:right="1319" w:firstLine="347"/>
        <w:spacing w:after="0" w:line="248" w:lineRule="auto"/>
        <w:rPr>
          <w:sz w:val="20"/>
          <w:szCs w:val="20"/>
          <w:color w:val="auto"/>
        </w:rPr>
      </w:pPr>
      <w:r>
        <w:rPr>
          <w:rFonts w:ascii="Times New Roman" w:cs="Times New Roman" w:eastAsia="Times New Roman" w:hAnsi="Times New Roman"/>
          <w:sz w:val="16"/>
          <w:szCs w:val="16"/>
          <w:b w:val="1"/>
          <w:bCs w:val="1"/>
          <w:color w:val="auto"/>
        </w:rPr>
        <w:t>Investing in Cibus’ Class A Common Stock involves a high degree of risk. Before making an investment decision, please read the information in the section titled “</w:t>
      </w:r>
      <w:r>
        <w:rPr>
          <w:rFonts w:ascii="Times New Roman" w:cs="Times New Roman" w:eastAsia="Times New Roman" w:hAnsi="Times New Roman"/>
          <w:sz w:val="16"/>
          <w:szCs w:val="16"/>
          <w:b w:val="1"/>
          <w:bCs w:val="1"/>
          <w:u w:val="single" w:color="auto"/>
          <w:color w:val="0000EE"/>
        </w:rPr>
        <w:t>Risk Factors</w:t>
      </w:r>
      <w:r>
        <w:rPr>
          <w:rFonts w:ascii="Times New Roman" w:cs="Times New Roman" w:eastAsia="Times New Roman" w:hAnsi="Times New Roman"/>
          <w:sz w:val="16"/>
          <w:szCs w:val="16"/>
          <w:b w:val="1"/>
          <w:bCs w:val="1"/>
          <w:color w:val="auto"/>
        </w:rPr>
        <w:t>” beginning on page S-5 of this prospectus supplement and in the documents incorporated by reference into this prospectus supplement and the accompanying prospectus.</w:t>
      </w:r>
    </w:p>
    <w:p>
      <w:pPr>
        <w:spacing w:after="0" w:line="102" w:lineRule="exact"/>
        <w:rPr>
          <w:sz w:val="20"/>
          <w:szCs w:val="20"/>
          <w:color w:val="auto"/>
        </w:rPr>
      </w:pPr>
    </w:p>
    <w:p>
      <w:pPr>
        <w:ind w:right="1579" w:firstLine="277"/>
        <w:spacing w:after="0" w:line="281" w:lineRule="auto"/>
        <w:rPr>
          <w:sz w:val="20"/>
          <w:szCs w:val="20"/>
          <w:color w:val="auto"/>
        </w:rPr>
      </w:pPr>
      <w:r>
        <w:rPr>
          <w:rFonts w:ascii="Times New Roman" w:cs="Times New Roman" w:eastAsia="Times New Roman" w:hAnsi="Times New Roman"/>
          <w:sz w:val="13"/>
          <w:szCs w:val="13"/>
          <w:b w:val="1"/>
          <w:bCs w:val="1"/>
          <w:color w:val="auto"/>
        </w:rPr>
        <w:t>Neither the U.S. Securities and Exchange Commission nor any state securities commission has approved or disapproved of these securities or passed upon the adequacy or accuracy of this prospectus supplement or the accompanying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1738630</wp:posOffset>
            </wp:positionH>
            <wp:positionV relativeFrom="paragraph">
              <wp:posOffset>137795</wp:posOffset>
            </wp:positionV>
            <wp:extent cx="921385" cy="63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8">
                      <a:extLst>
                        <a:ext uri="{28A0092B-C50C-407E-A947-70E740481C1C}"/>
                      </a:extLst>
                    </a:blip>
                    <a:srcRect/>
                    <a:stretch>
                      <a:fillRect/>
                    </a:stretch>
                  </pic:blipFill>
                  <pic:spPr bwMode="auto">
                    <a:xfrm>
                      <a:off x="0" y="0"/>
                      <a:ext cx="921385" cy="6350"/>
                    </a:xfrm>
                    <a:prstGeom prst="rect">
                      <a:avLst/>
                    </a:prstGeom>
                    <a:noFill/>
                  </pic:spPr>
                </pic:pic>
              </a:graphicData>
            </a:graphic>
          </wp:anchor>
        </w:drawing>
      </w:r>
    </w:p>
    <w:p>
      <w:pPr>
        <w:spacing w:after="0" w:line="320" w:lineRule="exact"/>
        <w:rPr>
          <w:sz w:val="20"/>
          <w:szCs w:val="20"/>
          <w:color w:val="auto"/>
        </w:rPr>
      </w:pPr>
    </w:p>
    <w:p>
      <w:pPr>
        <w:jc w:val="center"/>
        <w:ind w:right="1059"/>
        <w:spacing w:after="0"/>
        <w:rPr>
          <w:sz w:val="20"/>
          <w:szCs w:val="20"/>
          <w:color w:val="auto"/>
        </w:rPr>
      </w:pPr>
      <w:r>
        <w:rPr>
          <w:rFonts w:ascii="Times New Roman" w:cs="Times New Roman" w:eastAsia="Times New Roman" w:hAnsi="Times New Roman"/>
          <w:sz w:val="21"/>
          <w:szCs w:val="21"/>
          <w:b w:val="1"/>
          <w:bCs w:val="1"/>
          <w:color w:val="auto"/>
        </w:rPr>
        <w:t>Jefferies</w:t>
      </w:r>
    </w:p>
    <w:p>
      <w:pPr>
        <w:spacing w:after="0" w:line="153"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3"/>
          <w:szCs w:val="13"/>
          <w:b w:val="1"/>
          <w:bCs w:val="1"/>
          <w:color w:val="auto"/>
        </w:rPr>
        <w:t>The date of this prospectus supplement is            , 2026.</w:t>
      </w:r>
    </w:p>
    <w:p>
      <w:pPr>
        <w:sectPr>
          <w:pgSz w:w="11900" w:h="16838" w:orient="portrait"/>
          <w:cols w:equalWidth="0" w:num="2">
            <w:col w:w="1960" w:space="220"/>
            <w:col w:w="7979"/>
          </w:cols>
          <w:pgMar w:left="300" w:top="375" w:right="1440"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9">
                      <a:extLst>
                        <a:ext uri="{28A0092B-C50C-407E-A947-70E740481C1C}"/>
                      </a:extLst>
                    </a:blip>
                    <a:srcRect/>
                    <a:stretch>
                      <a:fillRect/>
                    </a:stretch>
                  </pic:blipFill>
                  <pic:spPr bwMode="auto">
                    <a:xfrm>
                      <a:off x="0" y="0"/>
                      <a:ext cx="7205345" cy="31750"/>
                    </a:xfrm>
                    <a:prstGeom prst="rect">
                      <a:avLst/>
                    </a:prstGeom>
                    <a:noFill/>
                  </pic:spPr>
                </pic:pic>
              </a:graphicData>
            </a:graphic>
          </wp:anchor>
        </w:drawing>
        <w:t>Table of Contents</w:t>
      </w:r>
    </w:p>
    <w:p>
      <w:pPr>
        <w:spacing w:after="0" w:line="244" w:lineRule="exact"/>
        <w:rPr>
          <w:sz w:val="20"/>
          <w:szCs w:val="20"/>
          <w:color w:val="auto"/>
        </w:rPr>
      </w:pPr>
    </w:p>
    <w:tbl>
      <w:tblPr>
        <w:tblLayout w:type="fixed"/>
        <w:tblInd w:w="1540" w:type="dxa"/>
        <w:tblCellMar>
          <w:top w:w="0" w:type="dxa"/>
          <w:left w:w="0" w:type="dxa"/>
          <w:bottom w:w="0" w:type="dxa"/>
          <w:right w:w="0" w:type="dxa"/>
        </w:tblCellMar>
      </w:tblPr>
      <w:tr>
        <w:trPr>
          <w:trHeight w:val="178"/>
        </w:trPr>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220" w:type="dxa"/>
            <w:vAlign w:val="bottom"/>
            <w:gridSpan w:val="4"/>
          </w:tcPr>
          <w:p>
            <w:pPr>
              <w:jc w:val="center"/>
              <w:ind w:right="1580"/>
              <w:spacing w:after="0"/>
              <w:rPr>
                <w:sz w:val="20"/>
                <w:szCs w:val="20"/>
                <w:color w:val="auto"/>
              </w:rPr>
            </w:pPr>
            <w:r>
              <w:rPr>
                <w:rFonts w:ascii="Times New Roman" w:cs="Times New Roman" w:eastAsia="Times New Roman" w:hAnsi="Times New Roman"/>
                <w:sz w:val="13"/>
                <w:szCs w:val="13"/>
                <w:b w:val="1"/>
                <w:bCs w:val="1"/>
                <w:color w:val="auto"/>
              </w:rPr>
              <w:t>TABLE OF CONTENTS</w:t>
            </w:r>
          </w:p>
        </w:tc>
        <w:tc>
          <w:tcPr>
            <w:tcW w:w="1680" w:type="dxa"/>
            <w:vAlign w:val="bottom"/>
          </w:tcPr>
          <w:p>
            <w:pPr>
              <w:spacing w:after="0"/>
              <w:rPr>
                <w:sz w:val="15"/>
                <w:szCs w:val="15"/>
                <w:color w:val="auto"/>
              </w:rPr>
            </w:pPr>
          </w:p>
        </w:tc>
      </w:tr>
      <w:tr>
        <w:trPr>
          <w:trHeight w:val="322"/>
        </w:trPr>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20" w:type="dxa"/>
            <w:vAlign w:val="bottom"/>
            <w:gridSpan w:val="4"/>
          </w:tcPr>
          <w:p>
            <w:pPr>
              <w:jc w:val="center"/>
              <w:ind w:right="1560"/>
              <w:spacing w:after="0"/>
              <w:rPr>
                <w:sz w:val="20"/>
                <w:szCs w:val="20"/>
                <w:color w:val="auto"/>
              </w:rPr>
            </w:pPr>
            <w:r>
              <w:rPr>
                <w:rFonts w:ascii="Times New Roman" w:cs="Times New Roman" w:eastAsia="Times New Roman" w:hAnsi="Times New Roman"/>
                <w:sz w:val="13"/>
                <w:szCs w:val="13"/>
                <w:b w:val="1"/>
                <w:bCs w:val="1"/>
                <w:color w:val="auto"/>
              </w:rPr>
              <w:t>Prospectus Supplement</w:t>
            </w:r>
          </w:p>
        </w:tc>
        <w:tc>
          <w:tcPr>
            <w:tcW w:w="1680" w:type="dxa"/>
            <w:vAlign w:val="bottom"/>
          </w:tcPr>
          <w:p>
            <w:pPr>
              <w:spacing w:after="0"/>
              <w:rPr>
                <w:sz w:val="24"/>
                <w:szCs w:val="24"/>
                <w:color w:val="auto"/>
              </w:rPr>
            </w:pPr>
          </w:p>
        </w:tc>
      </w:tr>
      <w:tr>
        <w:trPr>
          <w:trHeight w:val="280"/>
        </w:trPr>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Page</w:t>
            </w:r>
          </w:p>
        </w:tc>
      </w:tr>
      <w:tr>
        <w:trPr>
          <w:trHeight w:val="144"/>
        </w:trPr>
        <w:tc>
          <w:tcPr>
            <w:tcW w:w="2560" w:type="dxa"/>
            <w:vAlign w:val="bottom"/>
            <w:tcBorders>
              <w:bottom w:val="single" w:sz="8" w:color="0000EE"/>
            </w:tcBorders>
            <w:gridSpan w:val="11"/>
          </w:tcPr>
          <w:p>
            <w:pPr>
              <w:spacing w:after="0" w:line="144" w:lineRule="exact"/>
              <w:rPr>
                <w:sz w:val="20"/>
                <w:szCs w:val="20"/>
                <w:color w:val="auto"/>
              </w:rPr>
            </w:pPr>
            <w:r>
              <w:rPr>
                <w:rFonts w:ascii="Times New Roman" w:cs="Times New Roman" w:eastAsia="Times New Roman" w:hAnsi="Times New Roman"/>
                <w:sz w:val="13"/>
                <w:szCs w:val="13"/>
                <w:color w:val="0000EE"/>
              </w:rPr>
              <w:t>ABOUT THIS PROSPECTUS SUPPLEMENT</w:t>
            </w:r>
          </w:p>
        </w:tc>
        <w:tc>
          <w:tcPr>
            <w:tcW w:w="3940" w:type="dxa"/>
            <w:vAlign w:val="bottom"/>
            <w:gridSpan w:val="5"/>
          </w:tcPr>
          <w:p>
            <w:pPr>
              <w:spacing w:after="0"/>
              <w:rPr>
                <w:sz w:val="12"/>
                <w:szCs w:val="12"/>
                <w:color w:val="auto"/>
              </w:rPr>
            </w:pPr>
          </w:p>
        </w:tc>
        <w:tc>
          <w:tcPr>
            <w:tcW w:w="168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S-ii</w:t>
            </w:r>
          </w:p>
        </w:tc>
      </w:tr>
      <w:tr>
        <w:trPr>
          <w:trHeight w:val="141"/>
        </w:trPr>
        <w:tc>
          <w:tcPr>
            <w:tcW w:w="680" w:type="dxa"/>
            <w:vAlign w:val="bottom"/>
            <w:tcBorders>
              <w:bottom w:val="single" w:sz="8" w:color="0000EE"/>
            </w:tcBorders>
            <w:gridSpan w:val="3"/>
          </w:tcPr>
          <w:p>
            <w:pPr>
              <w:spacing w:after="0" w:line="141" w:lineRule="exact"/>
              <w:rPr>
                <w:sz w:val="20"/>
                <w:szCs w:val="20"/>
                <w:color w:val="auto"/>
              </w:rPr>
            </w:pPr>
            <w:r>
              <w:rPr>
                <w:rFonts w:ascii="Times New Roman" w:cs="Times New Roman" w:eastAsia="Times New Roman" w:hAnsi="Times New Roman"/>
                <w:sz w:val="13"/>
                <w:szCs w:val="13"/>
                <w:color w:val="0000EE"/>
                <w:w w:val="98"/>
              </w:rPr>
              <w:t>SUMMARY</w:t>
            </w:r>
          </w:p>
        </w:tc>
        <w:tc>
          <w:tcPr>
            <w:tcW w:w="5820" w:type="dxa"/>
            <w:vAlign w:val="bottom"/>
            <w:gridSpan w:val="13"/>
          </w:tcPr>
          <w:p>
            <w:pPr>
              <w:spacing w:after="0"/>
              <w:rPr>
                <w:sz w:val="12"/>
                <w:szCs w:val="12"/>
                <w:color w:val="auto"/>
              </w:rPr>
            </w:pPr>
          </w:p>
        </w:tc>
        <w:tc>
          <w:tcPr>
            <w:tcW w:w="1680" w:type="dxa"/>
            <w:vAlign w:val="bottom"/>
          </w:tcPr>
          <w:p>
            <w:pPr>
              <w:jc w:val="right"/>
              <w:spacing w:after="0" w:line="141" w:lineRule="exact"/>
              <w:rPr>
                <w:sz w:val="20"/>
                <w:szCs w:val="20"/>
                <w:color w:val="auto"/>
              </w:rPr>
            </w:pPr>
            <w:r>
              <w:rPr>
                <w:rFonts w:ascii="Times New Roman" w:cs="Times New Roman" w:eastAsia="Times New Roman" w:hAnsi="Times New Roman"/>
                <w:sz w:val="13"/>
                <w:szCs w:val="13"/>
                <w:color w:val="auto"/>
              </w:rPr>
              <w:t>S-1</w:t>
            </w:r>
          </w:p>
        </w:tc>
      </w:tr>
      <w:tr>
        <w:trPr>
          <w:trHeight w:val="141"/>
        </w:trPr>
        <w:tc>
          <w:tcPr>
            <w:tcW w:w="6500" w:type="dxa"/>
            <w:vAlign w:val="bottom"/>
            <w:gridSpan w:val="16"/>
          </w:tcPr>
          <w:p>
            <w:pPr>
              <w:spacing w:after="0" w:line="141" w:lineRule="exact"/>
              <w:rPr>
                <w:sz w:val="20"/>
                <w:szCs w:val="20"/>
                <w:color w:val="auto"/>
              </w:rPr>
            </w:pPr>
            <w:r>
              <w:rPr>
                <w:rFonts w:ascii="Times New Roman" w:cs="Times New Roman" w:eastAsia="Times New Roman" w:hAnsi="Times New Roman"/>
                <w:sz w:val="13"/>
                <w:szCs w:val="13"/>
                <w:color w:val="0000EE"/>
              </w:rPr>
              <w:t>THE OFFERING</w:t>
            </w:r>
          </w:p>
        </w:tc>
        <w:tc>
          <w:tcPr>
            <w:tcW w:w="1680" w:type="dxa"/>
            <w:vAlign w:val="bottom"/>
          </w:tcPr>
          <w:p>
            <w:pPr>
              <w:jc w:val="right"/>
              <w:spacing w:after="0" w:line="141" w:lineRule="exact"/>
              <w:rPr>
                <w:sz w:val="20"/>
                <w:szCs w:val="20"/>
                <w:color w:val="auto"/>
              </w:rPr>
            </w:pPr>
            <w:r>
              <w:rPr>
                <w:rFonts w:ascii="Times New Roman" w:cs="Times New Roman" w:eastAsia="Times New Roman" w:hAnsi="Times New Roman"/>
                <w:sz w:val="13"/>
                <w:szCs w:val="13"/>
                <w:color w:val="auto"/>
              </w:rPr>
              <w:t>S-3</w:t>
            </w:r>
          </w:p>
        </w:tc>
      </w:tr>
      <w:tr>
        <w:trPr>
          <w:trHeight w:val="141"/>
        </w:trPr>
        <w:tc>
          <w:tcPr>
            <w:tcW w:w="940" w:type="dxa"/>
            <w:vAlign w:val="bottom"/>
            <w:tcBorders>
              <w:top w:val="single" w:sz="8" w:color="0000EE"/>
            </w:tcBorders>
            <w:gridSpan w:val="5"/>
          </w:tcPr>
          <w:p>
            <w:pPr>
              <w:spacing w:after="0" w:line="141" w:lineRule="exact"/>
              <w:rPr>
                <w:sz w:val="20"/>
                <w:szCs w:val="20"/>
                <w:color w:val="auto"/>
              </w:rPr>
            </w:pPr>
            <w:r>
              <w:rPr>
                <w:rFonts w:ascii="Times New Roman" w:cs="Times New Roman" w:eastAsia="Times New Roman" w:hAnsi="Times New Roman"/>
                <w:sz w:val="13"/>
                <w:szCs w:val="13"/>
                <w:color w:val="0000EE"/>
              </w:rPr>
              <w:t>RISK FACTORS</w:t>
            </w:r>
          </w:p>
        </w:tc>
        <w:tc>
          <w:tcPr>
            <w:tcW w:w="5560" w:type="dxa"/>
            <w:vAlign w:val="bottom"/>
            <w:gridSpan w:val="11"/>
          </w:tcPr>
          <w:p>
            <w:pPr>
              <w:spacing w:after="0"/>
              <w:rPr>
                <w:sz w:val="12"/>
                <w:szCs w:val="12"/>
                <w:color w:val="auto"/>
              </w:rPr>
            </w:pPr>
          </w:p>
        </w:tc>
        <w:tc>
          <w:tcPr>
            <w:tcW w:w="1680" w:type="dxa"/>
            <w:vAlign w:val="bottom"/>
          </w:tcPr>
          <w:p>
            <w:pPr>
              <w:jc w:val="right"/>
              <w:spacing w:after="0" w:line="141" w:lineRule="exact"/>
              <w:rPr>
                <w:sz w:val="20"/>
                <w:szCs w:val="20"/>
                <w:color w:val="auto"/>
              </w:rPr>
            </w:pPr>
            <w:r>
              <w:rPr>
                <w:rFonts w:ascii="Times New Roman" w:cs="Times New Roman" w:eastAsia="Times New Roman" w:hAnsi="Times New Roman"/>
                <w:sz w:val="13"/>
                <w:szCs w:val="13"/>
                <w:color w:val="auto"/>
              </w:rPr>
              <w:t>S-5</w:t>
            </w:r>
          </w:p>
        </w:tc>
      </w:tr>
      <w:tr>
        <w:trPr>
          <w:trHeight w:val="20"/>
        </w:trPr>
        <w:tc>
          <w:tcPr>
            <w:tcW w:w="5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41"/>
        </w:trPr>
        <w:tc>
          <w:tcPr>
            <w:tcW w:w="6500" w:type="dxa"/>
            <w:vAlign w:val="bottom"/>
            <w:gridSpan w:val="16"/>
          </w:tcPr>
          <w:p>
            <w:pPr>
              <w:spacing w:after="0" w:line="141" w:lineRule="exact"/>
              <w:rPr>
                <w:sz w:val="20"/>
                <w:szCs w:val="20"/>
                <w:color w:val="auto"/>
              </w:rPr>
            </w:pPr>
            <w:r>
              <w:rPr>
                <w:rFonts w:ascii="Times New Roman" w:cs="Times New Roman" w:eastAsia="Times New Roman" w:hAnsi="Times New Roman"/>
                <w:sz w:val="13"/>
                <w:szCs w:val="13"/>
                <w:color w:val="0000EE"/>
              </w:rPr>
              <w:t>CAUTIONARY NOTE REGARDING FORWARD-LOOKING STATEMENTS</w:t>
            </w:r>
          </w:p>
        </w:tc>
        <w:tc>
          <w:tcPr>
            <w:tcW w:w="1680" w:type="dxa"/>
            <w:vAlign w:val="bottom"/>
          </w:tcPr>
          <w:p>
            <w:pPr>
              <w:jc w:val="right"/>
              <w:spacing w:after="0" w:line="141" w:lineRule="exact"/>
              <w:rPr>
                <w:sz w:val="20"/>
                <w:szCs w:val="20"/>
                <w:color w:val="auto"/>
              </w:rPr>
            </w:pPr>
            <w:r>
              <w:rPr>
                <w:rFonts w:ascii="Times New Roman" w:cs="Times New Roman" w:eastAsia="Times New Roman" w:hAnsi="Times New Roman"/>
                <w:sz w:val="13"/>
                <w:szCs w:val="13"/>
                <w:color w:val="auto"/>
              </w:rPr>
              <w:t>S-9</w:t>
            </w:r>
          </w:p>
        </w:tc>
      </w:tr>
      <w:tr>
        <w:trPr>
          <w:trHeight w:val="141"/>
        </w:trPr>
        <w:tc>
          <w:tcPr>
            <w:tcW w:w="1180" w:type="dxa"/>
            <w:vAlign w:val="bottom"/>
            <w:tcBorders>
              <w:top w:val="single" w:sz="8" w:color="0000EE"/>
              <w:bottom w:val="single" w:sz="8" w:color="0000EE"/>
            </w:tcBorders>
            <w:gridSpan w:val="8"/>
          </w:tcPr>
          <w:p>
            <w:pPr>
              <w:spacing w:after="0" w:line="141" w:lineRule="exact"/>
              <w:rPr>
                <w:sz w:val="20"/>
                <w:szCs w:val="20"/>
                <w:color w:val="auto"/>
              </w:rPr>
            </w:pPr>
            <w:r>
              <w:rPr>
                <w:rFonts w:ascii="Times New Roman" w:cs="Times New Roman" w:eastAsia="Times New Roman" w:hAnsi="Times New Roman"/>
                <w:sz w:val="13"/>
                <w:szCs w:val="13"/>
                <w:color w:val="0000EE"/>
              </w:rPr>
              <w:t>USE OF PROCEEDS</w:t>
            </w:r>
          </w:p>
        </w:tc>
        <w:tc>
          <w:tcPr>
            <w:tcW w:w="3120" w:type="dxa"/>
            <w:vAlign w:val="bottom"/>
            <w:tcBorders>
              <w:top w:val="single" w:sz="8" w:color="0000EE"/>
            </w:tcBorders>
            <w:gridSpan w:val="6"/>
          </w:tcPr>
          <w:p>
            <w:pPr>
              <w:spacing w:after="0"/>
              <w:rPr>
                <w:sz w:val="12"/>
                <w:szCs w:val="12"/>
                <w:color w:val="auto"/>
              </w:rPr>
            </w:pPr>
          </w:p>
        </w:tc>
        <w:tc>
          <w:tcPr>
            <w:tcW w:w="2200" w:type="dxa"/>
            <w:vAlign w:val="bottom"/>
            <w:gridSpan w:val="2"/>
          </w:tcPr>
          <w:p>
            <w:pPr>
              <w:spacing w:after="0"/>
              <w:rPr>
                <w:sz w:val="12"/>
                <w:szCs w:val="12"/>
                <w:color w:val="auto"/>
              </w:rPr>
            </w:pPr>
          </w:p>
        </w:tc>
        <w:tc>
          <w:tcPr>
            <w:tcW w:w="1680" w:type="dxa"/>
            <w:vAlign w:val="bottom"/>
          </w:tcPr>
          <w:p>
            <w:pPr>
              <w:jc w:val="right"/>
              <w:spacing w:after="0" w:line="141" w:lineRule="exact"/>
              <w:rPr>
                <w:sz w:val="20"/>
                <w:szCs w:val="20"/>
                <w:color w:val="auto"/>
              </w:rPr>
            </w:pPr>
            <w:r>
              <w:rPr>
                <w:rFonts w:ascii="Times New Roman" w:cs="Times New Roman" w:eastAsia="Times New Roman" w:hAnsi="Times New Roman"/>
                <w:sz w:val="13"/>
                <w:szCs w:val="13"/>
                <w:color w:val="auto"/>
              </w:rPr>
              <w:t>S-11</w:t>
            </w:r>
          </w:p>
        </w:tc>
      </w:tr>
      <w:tr>
        <w:trPr>
          <w:trHeight w:val="141"/>
        </w:trPr>
        <w:tc>
          <w:tcPr>
            <w:tcW w:w="6500" w:type="dxa"/>
            <w:vAlign w:val="bottom"/>
            <w:gridSpan w:val="16"/>
          </w:tcPr>
          <w:p>
            <w:pPr>
              <w:spacing w:after="0" w:line="141" w:lineRule="exact"/>
              <w:rPr>
                <w:sz w:val="20"/>
                <w:szCs w:val="20"/>
                <w:color w:val="auto"/>
              </w:rPr>
            </w:pPr>
            <w:r>
              <w:rPr>
                <w:rFonts w:ascii="Times New Roman" w:cs="Times New Roman" w:eastAsia="Times New Roman" w:hAnsi="Times New Roman"/>
                <w:sz w:val="13"/>
                <w:szCs w:val="13"/>
                <w:color w:val="0000EE"/>
              </w:rPr>
              <w:t>DIVIDEND POLICY</w:t>
            </w:r>
          </w:p>
        </w:tc>
        <w:tc>
          <w:tcPr>
            <w:tcW w:w="1680" w:type="dxa"/>
            <w:vAlign w:val="bottom"/>
          </w:tcPr>
          <w:p>
            <w:pPr>
              <w:jc w:val="right"/>
              <w:spacing w:after="0" w:line="141" w:lineRule="exact"/>
              <w:rPr>
                <w:sz w:val="20"/>
                <w:szCs w:val="20"/>
                <w:color w:val="auto"/>
              </w:rPr>
            </w:pPr>
            <w:r>
              <w:rPr>
                <w:rFonts w:ascii="Times New Roman" w:cs="Times New Roman" w:eastAsia="Times New Roman" w:hAnsi="Times New Roman"/>
                <w:sz w:val="13"/>
                <w:szCs w:val="13"/>
                <w:color w:val="auto"/>
              </w:rPr>
              <w:t>S-12</w:t>
            </w:r>
          </w:p>
        </w:tc>
      </w:tr>
      <w:tr>
        <w:trPr>
          <w:trHeight w:val="20"/>
        </w:trPr>
        <w:tc>
          <w:tcPr>
            <w:tcW w:w="5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41"/>
        </w:trPr>
        <w:tc>
          <w:tcPr>
            <w:tcW w:w="2140" w:type="dxa"/>
            <w:vAlign w:val="bottom"/>
            <w:tcBorders>
              <w:bottom w:val="single" w:sz="8" w:color="0000EE"/>
            </w:tcBorders>
            <w:gridSpan w:val="10"/>
          </w:tcPr>
          <w:p>
            <w:pPr>
              <w:spacing w:after="0" w:line="141" w:lineRule="exact"/>
              <w:rPr>
                <w:sz w:val="20"/>
                <w:szCs w:val="20"/>
                <w:color w:val="auto"/>
              </w:rPr>
            </w:pPr>
            <w:r>
              <w:rPr>
                <w:rFonts w:ascii="Times New Roman" w:cs="Times New Roman" w:eastAsia="Times New Roman" w:hAnsi="Times New Roman"/>
                <w:sz w:val="13"/>
                <w:szCs w:val="13"/>
                <w:color w:val="0000EE"/>
              </w:rPr>
              <w:t>DESCRIPTION OF CAPITAL STOCK</w:t>
            </w:r>
          </w:p>
        </w:tc>
        <w:tc>
          <w:tcPr>
            <w:tcW w:w="4360" w:type="dxa"/>
            <w:vAlign w:val="bottom"/>
            <w:gridSpan w:val="6"/>
          </w:tcPr>
          <w:p>
            <w:pPr>
              <w:spacing w:after="0"/>
              <w:rPr>
                <w:sz w:val="12"/>
                <w:szCs w:val="12"/>
                <w:color w:val="auto"/>
              </w:rPr>
            </w:pPr>
          </w:p>
        </w:tc>
        <w:tc>
          <w:tcPr>
            <w:tcW w:w="1680" w:type="dxa"/>
            <w:vAlign w:val="bottom"/>
          </w:tcPr>
          <w:p>
            <w:pPr>
              <w:jc w:val="right"/>
              <w:spacing w:after="0" w:line="141" w:lineRule="exact"/>
              <w:rPr>
                <w:sz w:val="20"/>
                <w:szCs w:val="20"/>
                <w:color w:val="auto"/>
              </w:rPr>
            </w:pPr>
            <w:r>
              <w:rPr>
                <w:rFonts w:ascii="Times New Roman" w:cs="Times New Roman" w:eastAsia="Times New Roman" w:hAnsi="Times New Roman"/>
                <w:sz w:val="13"/>
                <w:szCs w:val="13"/>
                <w:color w:val="auto"/>
              </w:rPr>
              <w:t>S-13</w:t>
            </w:r>
          </w:p>
        </w:tc>
      </w:tr>
      <w:tr>
        <w:trPr>
          <w:trHeight w:val="141"/>
        </w:trPr>
        <w:tc>
          <w:tcPr>
            <w:tcW w:w="640" w:type="dxa"/>
            <w:vAlign w:val="bottom"/>
            <w:tcBorders>
              <w:bottom w:val="single" w:sz="8" w:color="0000EE"/>
            </w:tcBorders>
            <w:gridSpan w:val="2"/>
          </w:tcPr>
          <w:p>
            <w:pPr>
              <w:spacing w:after="0" w:line="141" w:lineRule="exact"/>
              <w:rPr>
                <w:sz w:val="20"/>
                <w:szCs w:val="20"/>
                <w:color w:val="auto"/>
              </w:rPr>
            </w:pPr>
            <w:r>
              <w:rPr>
                <w:rFonts w:ascii="Times New Roman" w:cs="Times New Roman" w:eastAsia="Times New Roman" w:hAnsi="Times New Roman"/>
                <w:sz w:val="13"/>
                <w:szCs w:val="13"/>
                <w:color w:val="0000EE"/>
                <w:w w:val="99"/>
              </w:rPr>
              <w:t>DILUTION</w:t>
            </w:r>
          </w:p>
        </w:tc>
        <w:tc>
          <w:tcPr>
            <w:tcW w:w="5860" w:type="dxa"/>
            <w:vAlign w:val="bottom"/>
            <w:gridSpan w:val="14"/>
          </w:tcPr>
          <w:p>
            <w:pPr>
              <w:spacing w:after="0"/>
              <w:rPr>
                <w:sz w:val="12"/>
                <w:szCs w:val="12"/>
                <w:color w:val="auto"/>
              </w:rPr>
            </w:pPr>
          </w:p>
        </w:tc>
        <w:tc>
          <w:tcPr>
            <w:tcW w:w="1680" w:type="dxa"/>
            <w:vAlign w:val="bottom"/>
          </w:tcPr>
          <w:p>
            <w:pPr>
              <w:jc w:val="right"/>
              <w:spacing w:after="0" w:line="141" w:lineRule="exact"/>
              <w:rPr>
                <w:sz w:val="20"/>
                <w:szCs w:val="20"/>
                <w:color w:val="auto"/>
              </w:rPr>
            </w:pPr>
            <w:r>
              <w:rPr>
                <w:rFonts w:ascii="Times New Roman" w:cs="Times New Roman" w:eastAsia="Times New Roman" w:hAnsi="Times New Roman"/>
                <w:sz w:val="13"/>
                <w:szCs w:val="13"/>
                <w:color w:val="auto"/>
              </w:rPr>
              <w:t>S-14</w:t>
            </w:r>
          </w:p>
        </w:tc>
      </w:tr>
      <w:tr>
        <w:trPr>
          <w:trHeight w:val="141"/>
        </w:trPr>
        <w:tc>
          <w:tcPr>
            <w:tcW w:w="6500" w:type="dxa"/>
            <w:vAlign w:val="bottom"/>
            <w:gridSpan w:val="16"/>
          </w:tcPr>
          <w:p>
            <w:pPr>
              <w:spacing w:after="0" w:line="141" w:lineRule="exact"/>
              <w:rPr>
                <w:sz w:val="20"/>
                <w:szCs w:val="20"/>
                <w:color w:val="auto"/>
              </w:rPr>
            </w:pPr>
            <w:r>
              <w:rPr>
                <w:rFonts w:ascii="Times New Roman" w:cs="Times New Roman" w:eastAsia="Times New Roman" w:hAnsi="Times New Roman"/>
                <w:sz w:val="13"/>
                <w:szCs w:val="13"/>
                <w:color w:val="0000EE"/>
              </w:rPr>
              <w:t>PLAN OF DISTRIBUTION</w:t>
            </w:r>
          </w:p>
        </w:tc>
        <w:tc>
          <w:tcPr>
            <w:tcW w:w="1680" w:type="dxa"/>
            <w:vAlign w:val="bottom"/>
          </w:tcPr>
          <w:p>
            <w:pPr>
              <w:jc w:val="right"/>
              <w:spacing w:after="0" w:line="141" w:lineRule="exact"/>
              <w:rPr>
                <w:sz w:val="20"/>
                <w:szCs w:val="20"/>
                <w:color w:val="auto"/>
              </w:rPr>
            </w:pPr>
            <w:r>
              <w:rPr>
                <w:rFonts w:ascii="Times New Roman" w:cs="Times New Roman" w:eastAsia="Times New Roman" w:hAnsi="Times New Roman"/>
                <w:sz w:val="13"/>
                <w:szCs w:val="13"/>
                <w:color w:val="auto"/>
              </w:rPr>
              <w:t>S-16</w:t>
            </w:r>
          </w:p>
        </w:tc>
      </w:tr>
      <w:tr>
        <w:trPr>
          <w:trHeight w:val="20"/>
        </w:trPr>
        <w:tc>
          <w:tcPr>
            <w:tcW w:w="560" w:type="dxa"/>
            <w:vAlign w:val="bottom"/>
            <w:shd w:val="clear" w:color="auto" w:fill="0000EE"/>
          </w:tcPr>
          <w:p>
            <w:pPr>
              <w:spacing w:after="0" w:line="20" w:lineRule="exact"/>
              <w:rPr>
                <w:sz w:val="1"/>
                <w:szCs w:val="1"/>
                <w:color w:val="auto"/>
              </w:rPr>
            </w:pPr>
          </w:p>
        </w:tc>
        <w:tc>
          <w:tcPr>
            <w:tcW w:w="520" w:type="dxa"/>
            <w:vAlign w:val="bottom"/>
            <w:gridSpan w:val="5"/>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41"/>
        </w:trPr>
        <w:tc>
          <w:tcPr>
            <w:tcW w:w="6500" w:type="dxa"/>
            <w:vAlign w:val="bottom"/>
            <w:gridSpan w:val="16"/>
          </w:tcPr>
          <w:p>
            <w:pPr>
              <w:spacing w:after="0" w:line="141" w:lineRule="exact"/>
              <w:rPr>
                <w:sz w:val="20"/>
                <w:szCs w:val="20"/>
                <w:color w:val="auto"/>
              </w:rPr>
            </w:pPr>
            <w:r>
              <w:rPr>
                <w:rFonts w:ascii="Times New Roman" w:cs="Times New Roman" w:eastAsia="Times New Roman" w:hAnsi="Times New Roman"/>
                <w:sz w:val="13"/>
                <w:szCs w:val="13"/>
                <w:color w:val="0000EE"/>
              </w:rPr>
              <w:t>CERTAIN U.S. FEDERAL INCOME TAX CONSIDERATIONS FOR NON-U.S. HOLDERS</w:t>
            </w:r>
          </w:p>
        </w:tc>
        <w:tc>
          <w:tcPr>
            <w:tcW w:w="1680" w:type="dxa"/>
            <w:vAlign w:val="bottom"/>
          </w:tcPr>
          <w:p>
            <w:pPr>
              <w:jc w:val="right"/>
              <w:spacing w:after="0" w:line="141" w:lineRule="exact"/>
              <w:rPr>
                <w:sz w:val="20"/>
                <w:szCs w:val="20"/>
                <w:color w:val="auto"/>
              </w:rPr>
            </w:pPr>
            <w:r>
              <w:rPr>
                <w:rFonts w:ascii="Times New Roman" w:cs="Times New Roman" w:eastAsia="Times New Roman" w:hAnsi="Times New Roman"/>
                <w:sz w:val="13"/>
                <w:szCs w:val="13"/>
                <w:color w:val="auto"/>
              </w:rPr>
              <w:t>S-18</w:t>
            </w:r>
          </w:p>
        </w:tc>
      </w:tr>
      <w:tr>
        <w:trPr>
          <w:trHeight w:val="141"/>
        </w:trPr>
        <w:tc>
          <w:tcPr>
            <w:tcW w:w="1080" w:type="dxa"/>
            <w:vAlign w:val="bottom"/>
            <w:tcBorders>
              <w:top w:val="single" w:sz="8" w:color="0000EE"/>
              <w:bottom w:val="single" w:sz="8" w:color="0000EE"/>
            </w:tcBorders>
            <w:gridSpan w:val="6"/>
          </w:tcPr>
          <w:p>
            <w:pPr>
              <w:spacing w:after="0" w:line="141" w:lineRule="exact"/>
              <w:rPr>
                <w:sz w:val="20"/>
                <w:szCs w:val="20"/>
                <w:color w:val="auto"/>
              </w:rPr>
            </w:pPr>
            <w:r>
              <w:rPr>
                <w:rFonts w:ascii="Times New Roman" w:cs="Times New Roman" w:eastAsia="Times New Roman" w:hAnsi="Times New Roman"/>
                <w:sz w:val="13"/>
                <w:szCs w:val="13"/>
                <w:color w:val="0000EE"/>
                <w:w w:val="99"/>
              </w:rPr>
              <w:t>LEGAL MATTERS</w:t>
            </w:r>
          </w:p>
        </w:tc>
        <w:tc>
          <w:tcPr>
            <w:tcW w:w="3980" w:type="dxa"/>
            <w:vAlign w:val="bottom"/>
            <w:tcBorders>
              <w:top w:val="single" w:sz="8" w:color="0000EE"/>
            </w:tcBorders>
            <w:gridSpan w:val="9"/>
          </w:tcPr>
          <w:p>
            <w:pPr>
              <w:spacing w:after="0"/>
              <w:rPr>
                <w:sz w:val="12"/>
                <w:szCs w:val="12"/>
                <w:color w:val="auto"/>
              </w:rPr>
            </w:pPr>
          </w:p>
        </w:tc>
        <w:tc>
          <w:tcPr>
            <w:tcW w:w="1440" w:type="dxa"/>
            <w:vAlign w:val="bottom"/>
          </w:tcPr>
          <w:p>
            <w:pPr>
              <w:spacing w:after="0"/>
              <w:rPr>
                <w:sz w:val="12"/>
                <w:szCs w:val="12"/>
                <w:color w:val="auto"/>
              </w:rPr>
            </w:pPr>
          </w:p>
        </w:tc>
        <w:tc>
          <w:tcPr>
            <w:tcW w:w="1680" w:type="dxa"/>
            <w:vAlign w:val="bottom"/>
          </w:tcPr>
          <w:p>
            <w:pPr>
              <w:jc w:val="right"/>
              <w:spacing w:after="0" w:line="141" w:lineRule="exact"/>
              <w:rPr>
                <w:sz w:val="20"/>
                <w:szCs w:val="20"/>
                <w:color w:val="auto"/>
              </w:rPr>
            </w:pPr>
            <w:r>
              <w:rPr>
                <w:rFonts w:ascii="Times New Roman" w:cs="Times New Roman" w:eastAsia="Times New Roman" w:hAnsi="Times New Roman"/>
                <w:sz w:val="13"/>
                <w:szCs w:val="13"/>
                <w:color w:val="auto"/>
              </w:rPr>
              <w:t>S-23</w:t>
            </w:r>
          </w:p>
        </w:tc>
      </w:tr>
      <w:tr>
        <w:trPr>
          <w:trHeight w:val="141"/>
        </w:trPr>
        <w:tc>
          <w:tcPr>
            <w:tcW w:w="6500" w:type="dxa"/>
            <w:vAlign w:val="bottom"/>
            <w:gridSpan w:val="16"/>
          </w:tcPr>
          <w:p>
            <w:pPr>
              <w:spacing w:after="0" w:line="141" w:lineRule="exact"/>
              <w:rPr>
                <w:sz w:val="20"/>
                <w:szCs w:val="20"/>
                <w:color w:val="auto"/>
              </w:rPr>
            </w:pPr>
            <w:r>
              <w:rPr>
                <w:rFonts w:ascii="Times New Roman" w:cs="Times New Roman" w:eastAsia="Times New Roman" w:hAnsi="Times New Roman"/>
                <w:sz w:val="13"/>
                <w:szCs w:val="13"/>
                <w:color w:val="0000EE"/>
              </w:rPr>
              <w:t>EXPERTS</w:t>
            </w:r>
          </w:p>
        </w:tc>
        <w:tc>
          <w:tcPr>
            <w:tcW w:w="1680" w:type="dxa"/>
            <w:vAlign w:val="bottom"/>
          </w:tcPr>
          <w:p>
            <w:pPr>
              <w:jc w:val="right"/>
              <w:spacing w:after="0" w:line="141" w:lineRule="exact"/>
              <w:rPr>
                <w:sz w:val="20"/>
                <w:szCs w:val="20"/>
                <w:color w:val="auto"/>
              </w:rPr>
            </w:pPr>
            <w:r>
              <w:rPr>
                <w:rFonts w:ascii="Times New Roman" w:cs="Times New Roman" w:eastAsia="Times New Roman" w:hAnsi="Times New Roman"/>
                <w:sz w:val="13"/>
                <w:szCs w:val="13"/>
                <w:color w:val="auto"/>
              </w:rPr>
              <w:t>S-24</w:t>
            </w:r>
          </w:p>
        </w:tc>
      </w:tr>
      <w:tr>
        <w:trPr>
          <w:trHeight w:val="20"/>
        </w:trPr>
        <w:tc>
          <w:tcPr>
            <w:tcW w:w="560" w:type="dxa"/>
            <w:vAlign w:val="bottom"/>
            <w:shd w:val="clear" w:color="auto" w:fill="0000EE"/>
          </w:tcPr>
          <w:p>
            <w:pPr>
              <w:spacing w:after="0" w:line="20" w:lineRule="exact"/>
              <w:rPr>
                <w:sz w:val="1"/>
                <w:szCs w:val="1"/>
                <w:color w:val="auto"/>
              </w:rPr>
            </w:pPr>
          </w:p>
        </w:tc>
        <w:tc>
          <w:tcPr>
            <w:tcW w:w="2720" w:type="dxa"/>
            <w:vAlign w:val="bottom"/>
            <w:gridSpan w:val="11"/>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40" w:type="dxa"/>
            <w:vAlign w:val="bottom"/>
            <w:gridSpan w:val="3"/>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41"/>
        </w:trPr>
        <w:tc>
          <w:tcPr>
            <w:tcW w:w="6500" w:type="dxa"/>
            <w:vAlign w:val="bottom"/>
            <w:gridSpan w:val="16"/>
          </w:tcPr>
          <w:p>
            <w:pPr>
              <w:spacing w:after="0" w:line="141" w:lineRule="exact"/>
              <w:rPr>
                <w:sz w:val="20"/>
                <w:szCs w:val="20"/>
                <w:color w:val="auto"/>
              </w:rPr>
            </w:pPr>
            <w:r>
              <w:rPr>
                <w:rFonts w:ascii="Times New Roman" w:cs="Times New Roman" w:eastAsia="Times New Roman" w:hAnsi="Times New Roman"/>
                <w:sz w:val="13"/>
                <w:szCs w:val="13"/>
                <w:color w:val="0000EE"/>
              </w:rPr>
              <w:t>WHERE YOU CAN FIND ADDITIONAL INFORMATION</w:t>
            </w:r>
          </w:p>
        </w:tc>
        <w:tc>
          <w:tcPr>
            <w:tcW w:w="1680" w:type="dxa"/>
            <w:vAlign w:val="bottom"/>
          </w:tcPr>
          <w:p>
            <w:pPr>
              <w:jc w:val="right"/>
              <w:spacing w:after="0" w:line="141" w:lineRule="exact"/>
              <w:rPr>
                <w:sz w:val="20"/>
                <w:szCs w:val="20"/>
                <w:color w:val="auto"/>
              </w:rPr>
            </w:pPr>
            <w:r>
              <w:rPr>
                <w:rFonts w:ascii="Times New Roman" w:cs="Times New Roman" w:eastAsia="Times New Roman" w:hAnsi="Times New Roman"/>
                <w:sz w:val="13"/>
                <w:szCs w:val="13"/>
                <w:color w:val="auto"/>
              </w:rPr>
              <w:t>S-25</w:t>
            </w:r>
          </w:p>
        </w:tc>
      </w:tr>
      <w:tr>
        <w:trPr>
          <w:trHeight w:val="20"/>
        </w:trPr>
        <w:tc>
          <w:tcPr>
            <w:tcW w:w="3280" w:type="dxa"/>
            <w:vAlign w:val="bottom"/>
            <w:gridSpan w:val="12"/>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40" w:type="dxa"/>
            <w:vAlign w:val="bottom"/>
            <w:gridSpan w:val="3"/>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41"/>
        </w:trPr>
        <w:tc>
          <w:tcPr>
            <w:tcW w:w="3860" w:type="dxa"/>
            <w:vAlign w:val="bottom"/>
            <w:tcBorders>
              <w:bottom w:val="single" w:sz="8" w:color="0000EE"/>
            </w:tcBorders>
            <w:gridSpan w:val="13"/>
          </w:tcPr>
          <w:p>
            <w:pPr>
              <w:spacing w:after="0" w:line="141" w:lineRule="exact"/>
              <w:rPr>
                <w:sz w:val="20"/>
                <w:szCs w:val="20"/>
                <w:color w:val="auto"/>
              </w:rPr>
            </w:pPr>
            <w:r>
              <w:rPr>
                <w:rFonts w:ascii="Times New Roman" w:cs="Times New Roman" w:eastAsia="Times New Roman" w:hAnsi="Times New Roman"/>
                <w:sz w:val="13"/>
                <w:szCs w:val="13"/>
                <w:color w:val="0000EE"/>
              </w:rPr>
              <w:t>INCORPORATION OF CERTAIN INFORMATION BY REFERENCE</w:t>
            </w:r>
          </w:p>
        </w:tc>
        <w:tc>
          <w:tcPr>
            <w:tcW w:w="2640" w:type="dxa"/>
            <w:vAlign w:val="bottom"/>
            <w:gridSpan w:val="3"/>
          </w:tcPr>
          <w:p>
            <w:pPr>
              <w:spacing w:after="0"/>
              <w:rPr>
                <w:sz w:val="12"/>
                <w:szCs w:val="12"/>
                <w:color w:val="auto"/>
              </w:rPr>
            </w:pPr>
          </w:p>
        </w:tc>
        <w:tc>
          <w:tcPr>
            <w:tcW w:w="1680" w:type="dxa"/>
            <w:vAlign w:val="bottom"/>
          </w:tcPr>
          <w:p>
            <w:pPr>
              <w:jc w:val="right"/>
              <w:spacing w:after="0" w:line="141" w:lineRule="exact"/>
              <w:rPr>
                <w:sz w:val="20"/>
                <w:szCs w:val="20"/>
                <w:color w:val="auto"/>
              </w:rPr>
            </w:pPr>
            <w:r>
              <w:rPr>
                <w:rFonts w:ascii="Times New Roman" w:cs="Times New Roman" w:eastAsia="Times New Roman" w:hAnsi="Times New Roman"/>
                <w:sz w:val="13"/>
                <w:szCs w:val="13"/>
                <w:color w:val="auto"/>
              </w:rPr>
              <w:t>S-26</w:t>
            </w:r>
          </w:p>
        </w:tc>
      </w:tr>
    </w:tbl>
    <w:p>
      <w:pPr>
        <w:spacing w:after="0" w:line="118"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3"/>
          <w:szCs w:val="13"/>
          <w:color w:val="auto"/>
        </w:rPr>
        <w:t>S-i</w:t>
      </w:r>
    </w:p>
    <w:p>
      <w:pPr>
        <w:sectPr>
          <w:pgSz w:w="11900" w:h="16838" w:orient="portrait"/>
          <w:cols w:equalWidth="0" w:num="1">
            <w:col w:w="10159"/>
          </w:cols>
          <w:pgMar w:left="300" w:top="375" w:right="1440"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0">
                      <a:extLst>
                        <a:ext uri="{28A0092B-C50C-407E-A947-70E740481C1C}"/>
                      </a:extLst>
                    </a:blip>
                    <a:srcRect/>
                    <a:stretch>
                      <a:fillRect/>
                    </a:stretch>
                  </pic:blipFill>
                  <pic:spPr bwMode="auto">
                    <a:xfrm>
                      <a:off x="0" y="0"/>
                      <a:ext cx="7205345" cy="31750"/>
                    </a:xfrm>
                    <a:prstGeom prst="rect">
                      <a:avLst/>
                    </a:prstGeom>
                    <a:noFill/>
                  </pic:spPr>
                </pic:pic>
              </a:graphicData>
            </a:graphic>
          </wp:anchor>
        </w:drawing>
        <w:t>Table of Contents</w:t>
      </w:r>
    </w:p>
    <w:p>
      <w:pPr>
        <w:spacing w:after="0" w:line="244"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3"/>
          <w:szCs w:val="13"/>
          <w:b w:val="1"/>
          <w:bCs w:val="1"/>
          <w:color w:val="auto"/>
        </w:rPr>
        <w:t>ABOUT THIS PROSPECTUS SUPPLEMENT</w:t>
      </w:r>
    </w:p>
    <w:p>
      <w:pPr>
        <w:spacing w:after="0" w:line="177"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3"/>
          <w:szCs w:val="13"/>
          <w:color w:val="auto"/>
        </w:rPr>
        <w:t>Unless indicated otherwise, references in this prospectus to “Cibus” and the “Company” or similar terms are to Cibus, Inc.</w:t>
      </w:r>
    </w:p>
    <w:p>
      <w:pPr>
        <w:spacing w:after="0" w:line="173" w:lineRule="exact"/>
        <w:rPr>
          <w:sz w:val="20"/>
          <w:szCs w:val="20"/>
          <w:color w:val="auto"/>
        </w:rPr>
      </w:pPr>
    </w:p>
    <w:p>
      <w:pPr>
        <w:ind w:left="1540" w:right="439" w:firstLine="329"/>
        <w:spacing w:after="0" w:line="263" w:lineRule="auto"/>
        <w:rPr>
          <w:sz w:val="20"/>
          <w:szCs w:val="20"/>
          <w:color w:val="auto"/>
        </w:rPr>
      </w:pPr>
      <w:r>
        <w:rPr>
          <w:rFonts w:ascii="Times New Roman" w:cs="Times New Roman" w:eastAsia="Times New Roman" w:hAnsi="Times New Roman"/>
          <w:sz w:val="13"/>
          <w:szCs w:val="13"/>
          <w:color w:val="auto"/>
        </w:rPr>
        <w:t>This prospectus supplement and the accompanying prospectus are part of a registration statement that Cibus filed with the Securities and Exchange Commission, or the SEC, utilizing a “shelf” registration process. This document is in two parts. The first part is this prospectus supplement, which describes the specific terms of this offering and also adds to and updates information contained in the accompanying prospectus and the documents incorporated by reference herein. The second part, the accompanying prospectus, provides more general information. Generally, when Cibus refers to this prospectus, it is referring to both parts of this document combined. To the extent there is a conflict between the information contained in this prospectus supplement and the information contained in the accompanying prospectus or any document incorporated by reference therein filed prior to the date of this prospectus supplement, you should rely on the information in this prospectus supplement; provided that if any statement in one of these documents is inconsistent with a statement in another document having a later date—for example, a document incorporated by reference in the accompanying prospectus—the statement in the document having the later date modifies or supersedes the earlier statement.</w:t>
      </w:r>
    </w:p>
    <w:p>
      <w:pPr>
        <w:spacing w:after="0" w:line="138" w:lineRule="exact"/>
        <w:rPr>
          <w:sz w:val="20"/>
          <w:szCs w:val="20"/>
          <w:color w:val="auto"/>
        </w:rPr>
      </w:pPr>
    </w:p>
    <w:p>
      <w:pPr>
        <w:ind w:left="1540" w:right="479" w:firstLine="329"/>
        <w:spacing w:after="0" w:line="268" w:lineRule="auto"/>
        <w:rPr>
          <w:sz w:val="20"/>
          <w:szCs w:val="20"/>
          <w:color w:val="auto"/>
        </w:rPr>
      </w:pPr>
      <w:r>
        <w:rPr>
          <w:rFonts w:ascii="Times New Roman" w:cs="Times New Roman" w:eastAsia="Times New Roman" w:hAnsi="Times New Roman"/>
          <w:sz w:val="13"/>
          <w:szCs w:val="13"/>
          <w:color w:val="auto"/>
        </w:rPr>
        <w:t>Cibus further notes that the representations, warranties and covenants made by Cibus in any agreement that is filed as an exhibit to any document that is incorporated by reference herein or in the accompanying prospectus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Cibus’ affairs.</w:t>
      </w:r>
    </w:p>
    <w:p>
      <w:pPr>
        <w:spacing w:after="0" w:line="133" w:lineRule="exact"/>
        <w:rPr>
          <w:sz w:val="20"/>
          <w:szCs w:val="20"/>
          <w:color w:val="auto"/>
        </w:rPr>
      </w:pPr>
    </w:p>
    <w:p>
      <w:pPr>
        <w:ind w:left="1540" w:right="419" w:firstLine="329"/>
        <w:spacing w:after="0" w:line="271" w:lineRule="auto"/>
        <w:rPr>
          <w:sz w:val="20"/>
          <w:szCs w:val="20"/>
          <w:color w:val="auto"/>
        </w:rPr>
      </w:pPr>
      <w:r>
        <w:rPr>
          <w:rFonts w:ascii="Times New Roman" w:cs="Times New Roman" w:eastAsia="Times New Roman" w:hAnsi="Times New Roman"/>
          <w:sz w:val="13"/>
          <w:szCs w:val="13"/>
          <w:color w:val="auto"/>
        </w:rPr>
        <w:t>Cibus has not authorized, and Jefferies has not authorized, anyone to provide you with information that is different from the information contained or incorporated by reference in this prospectus supplement or the accompanying prospectus and any free writing prospectus prepared by Cibus or on its behalf or to which Cibus has referred you. Cibus and Jefferies take no responsibility for, and can provide no assurance as to the reliability of, any other information that others may give you.</w:t>
      </w:r>
    </w:p>
    <w:p>
      <w:pPr>
        <w:spacing w:after="0" w:line="131" w:lineRule="exact"/>
        <w:rPr>
          <w:sz w:val="20"/>
          <w:szCs w:val="20"/>
          <w:color w:val="auto"/>
        </w:rPr>
      </w:pPr>
    </w:p>
    <w:p>
      <w:pPr>
        <w:ind w:left="1540" w:right="399" w:firstLine="329"/>
        <w:spacing w:after="0" w:line="264" w:lineRule="auto"/>
        <w:rPr>
          <w:sz w:val="20"/>
          <w:szCs w:val="20"/>
          <w:color w:val="auto"/>
        </w:rPr>
      </w:pPr>
      <w:r>
        <w:rPr>
          <w:rFonts w:ascii="Times New Roman" w:cs="Times New Roman" w:eastAsia="Times New Roman" w:hAnsi="Times New Roman"/>
          <w:sz w:val="13"/>
          <w:szCs w:val="13"/>
          <w:color w:val="auto"/>
        </w:rPr>
        <w:t>The information contained in this prospectus supplement or the accompanying prospectus, or incorporated by reference herein or therein, or in any free writing prospectus that Cibus has authorized for use in connection with this offering, is accurate only as of the respective dates thereof, regardless of the time of delivery of this prospectus supplement and the accompanying prospectus or of any sale of Cibus’ securities. Cibus’ business, financial condition, results of operations and prospects may have changed since those dates. It is important for you to read and consider all information contained in this prospectus supplement and the accompanying prospectus, including the documents incorporated by reference herein and therein, as well as in any free writing prospectus that Cibus has authorized for use in connection with this offering, in making your investment decision. You should also read and consider the information in the documents to which Cibus has referred you in the sections entitled “Where You Can Find Additional Information” and “Incorporation of Certain Information by Reference” in this prospectus supplement and in the accompanying prospectus.</w:t>
      </w:r>
    </w:p>
    <w:p>
      <w:pPr>
        <w:spacing w:after="0" w:line="136" w:lineRule="exact"/>
        <w:rPr>
          <w:sz w:val="20"/>
          <w:szCs w:val="20"/>
          <w:color w:val="auto"/>
        </w:rPr>
      </w:pPr>
    </w:p>
    <w:p>
      <w:pPr>
        <w:ind w:left="1540" w:right="459" w:firstLine="329"/>
        <w:spacing w:after="0" w:line="266" w:lineRule="auto"/>
        <w:rPr>
          <w:sz w:val="20"/>
          <w:szCs w:val="20"/>
          <w:color w:val="auto"/>
        </w:rPr>
      </w:pPr>
      <w:r>
        <w:rPr>
          <w:rFonts w:ascii="Times New Roman" w:cs="Times New Roman" w:eastAsia="Times New Roman" w:hAnsi="Times New Roman"/>
          <w:sz w:val="13"/>
          <w:szCs w:val="13"/>
          <w:color w:val="auto"/>
        </w:rPr>
        <w:t>Cibus is offering to sell, and seeking offers to buy, the shares of Class A Common Stock offered by this prospectus supplement only in jurisdictions where offers and sales are permitted. The distribution of this prospectus supplement and the accompanying prospectus and the offering of the shares of Class A Common Stock offered by this prospectus supplement in certain jurisdictions may be restricted by law. Persons outside the United States who come into possession of this prospectus supplement and the accompanying prospectus must inform themselves about, and observe any restrictions relating to, the offering of the shares of Class A Common Stock and the distribution of this prospectus supplement and the accompanying prospectus outside the United States. This prospectus supplement and the accompanying prospectus do not constitute, and may not be used in</w:t>
      </w:r>
    </w:p>
    <w:p>
      <w:pPr>
        <w:spacing w:after="0" w:line="8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S-ii</w:t>
      </w:r>
    </w:p>
    <w:p>
      <w:pPr>
        <w:sectPr>
          <w:pgSz w:w="11900" w:h="16838" w:orient="portrait"/>
          <w:cols w:equalWidth="0" w:num="1">
            <w:col w:w="10159"/>
          </w:cols>
          <w:pgMar w:left="300" w:top="375" w:right="1440"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1">
                      <a:extLst>
                        <a:ext uri="{28A0092B-C50C-407E-A947-70E740481C1C}"/>
                      </a:extLst>
                    </a:blip>
                    <a:srcRect/>
                    <a:stretch>
                      <a:fillRect/>
                    </a:stretch>
                  </pic:blipFill>
                  <pic:spPr bwMode="auto">
                    <a:xfrm>
                      <a:off x="0" y="0"/>
                      <a:ext cx="7205345" cy="31750"/>
                    </a:xfrm>
                    <a:prstGeom prst="rect">
                      <a:avLst/>
                    </a:prstGeom>
                    <a:noFill/>
                  </pic:spPr>
                </pic:pic>
              </a:graphicData>
            </a:graphic>
          </wp:anchor>
        </w:drawing>
        <w:t>Table of Contents</w:t>
      </w:r>
    </w:p>
    <w:p>
      <w:pPr>
        <w:spacing w:after="0" w:line="248" w:lineRule="exact"/>
        <w:rPr>
          <w:sz w:val="20"/>
          <w:szCs w:val="20"/>
          <w:color w:val="auto"/>
        </w:rPr>
      </w:pPr>
    </w:p>
    <w:p>
      <w:pPr>
        <w:ind w:left="1540" w:right="939"/>
        <w:spacing w:after="0" w:line="297" w:lineRule="auto"/>
        <w:rPr>
          <w:sz w:val="20"/>
          <w:szCs w:val="20"/>
          <w:color w:val="auto"/>
        </w:rPr>
      </w:pPr>
      <w:r>
        <w:rPr>
          <w:rFonts w:ascii="Times New Roman" w:cs="Times New Roman" w:eastAsia="Times New Roman" w:hAnsi="Times New Roman"/>
          <w:sz w:val="13"/>
          <w:szCs w:val="13"/>
          <w:color w:val="auto"/>
        </w:rPr>
        <w:t>connection with, an offer to sell, or a solicitation of an offer to buy, any securities offered by this prospectus supplement and the accompanying prospectus by any person in any jurisdiction in which it is unlawful for such person to make such an offer or solicitation.</w:t>
      </w:r>
    </w:p>
    <w:p>
      <w:pPr>
        <w:spacing w:after="0" w:line="114" w:lineRule="exact"/>
        <w:rPr>
          <w:sz w:val="20"/>
          <w:szCs w:val="20"/>
          <w:color w:val="auto"/>
        </w:rPr>
      </w:pPr>
    </w:p>
    <w:p>
      <w:pPr>
        <w:ind w:left="1540" w:right="419" w:firstLine="329"/>
        <w:spacing w:after="0" w:line="263" w:lineRule="auto"/>
        <w:rPr>
          <w:sz w:val="20"/>
          <w:szCs w:val="20"/>
          <w:color w:val="auto"/>
        </w:rPr>
      </w:pPr>
      <w:r>
        <w:rPr>
          <w:rFonts w:ascii="Times New Roman" w:cs="Times New Roman" w:eastAsia="Times New Roman" w:hAnsi="Times New Roman"/>
          <w:sz w:val="13"/>
          <w:szCs w:val="13"/>
          <w:color w:val="auto"/>
        </w:rPr>
        <w:t>This prospectus supplement and the documents incorporated by reference in this prospectus supplement contain market data and industry statistics and forecasts that are based on independent industry publications, other publicly available information and Cibus’ internal sources and estimates. Although Cibus believes that third-party sources are reliable, Cibus does not guarantee the accuracy or completeness of the information extracted from these sources and Cibus has not independently verified such information. Similarly, while Cibus believes its management estimates to be reasonable, they have not been verified by any independent sources. These estimates regarding market and industry data presented or incorporated by reference in this prospectus involve risks and uncertainties and are subject to change based on various factors, including those discussed in the section titled “Risk Factors” in this prospectus supplement and any related free writing prospectus, and under similar headings in the other documents that are incorporated by reference into this prospectus supplement. Forecasts and other forward-looking estimates about Cibus’ industry or Cibus’ performance within Cibus’ industry are subject to the risks and uncertainties regarding forward-looking statements described under the caption “Cautionary Note Regarding Forward-Looking Statements.” Accordingly, investors should not place undue reliance on this information.</w:t>
      </w:r>
    </w:p>
    <w:p>
      <w:pPr>
        <w:spacing w:after="0" w:line="85"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3"/>
          <w:szCs w:val="13"/>
          <w:color w:val="auto"/>
        </w:rPr>
        <w:t>S-iii</w:t>
      </w:r>
    </w:p>
    <w:p>
      <w:pPr>
        <w:sectPr>
          <w:pgSz w:w="11900" w:h="16838" w:orient="portrait"/>
          <w:cols w:equalWidth="0" w:num="1">
            <w:col w:w="10159"/>
          </w:cols>
          <w:pgMar w:left="300" w:top="375" w:right="1440"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2">
                      <a:extLst>
                        <a:ext uri="{28A0092B-C50C-407E-A947-70E740481C1C}"/>
                      </a:extLst>
                    </a:blip>
                    <a:srcRect/>
                    <a:stretch>
                      <a:fillRect/>
                    </a:stretch>
                  </pic:blipFill>
                  <pic:spPr bwMode="auto">
                    <a:xfrm>
                      <a:off x="0" y="0"/>
                      <a:ext cx="7205345" cy="3175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969645</wp:posOffset>
            </wp:positionH>
            <wp:positionV relativeFrom="paragraph">
              <wp:posOffset>161925</wp:posOffset>
            </wp:positionV>
            <wp:extent cx="5227955" cy="44792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3">
                      <a:extLst>
                        <a:ext uri="{28A0092B-C50C-407E-A947-70E740481C1C}"/>
                      </a:extLst>
                    </a:blip>
                    <a:srcRect/>
                    <a:stretch>
                      <a:fillRect/>
                    </a:stretch>
                  </pic:blipFill>
                  <pic:spPr bwMode="auto">
                    <a:xfrm>
                      <a:off x="0" y="0"/>
                      <a:ext cx="5227955" cy="4479290"/>
                    </a:xfrm>
                    <a:prstGeom prst="rect">
                      <a:avLst/>
                    </a:prstGeom>
                    <a:noFill/>
                  </pic:spPr>
                </pic:pic>
              </a:graphicData>
            </a:graphic>
          </wp:anchor>
        </w:drawing>
      </w:r>
    </w:p>
    <w:p>
      <w:pPr>
        <w:spacing w:after="0" w:line="35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SUMMARY</w:t>
      </w:r>
    </w:p>
    <w:p>
      <w:pPr>
        <w:spacing w:after="0" w:line="175" w:lineRule="exact"/>
        <w:rPr>
          <w:sz w:val="20"/>
          <w:szCs w:val="20"/>
          <w:color w:val="auto"/>
        </w:rPr>
      </w:pPr>
    </w:p>
    <w:p>
      <w:pPr>
        <w:ind w:left="1660" w:right="579" w:firstLine="318"/>
        <w:spacing w:after="0" w:line="265" w:lineRule="auto"/>
        <w:rPr>
          <w:sz w:val="20"/>
          <w:szCs w:val="20"/>
          <w:color w:val="auto"/>
        </w:rPr>
      </w:pPr>
      <w:r>
        <w:rPr>
          <w:rFonts w:ascii="Times New Roman" w:cs="Times New Roman" w:eastAsia="Times New Roman" w:hAnsi="Times New Roman"/>
          <w:sz w:val="13"/>
          <w:szCs w:val="13"/>
          <w:i w:val="1"/>
          <w:iCs w:val="1"/>
          <w:color w:val="auto"/>
        </w:rPr>
        <w:t>This summary highlights selected information contained elsewhere in this prospectus supplement or incorporated by reference in this prospectus supplement, and does not contain all of the information that you need to consider in making your investment decision. You should carefully read the entire prospectus supplement and accompanying prospectus, and any related free writing prospectus, including the risks of investing in Cibus’ securities discussed in the section titled “Risk Factors” contained in this prospectus supplement and any related free writing prospectus, and under similar headings in the other documents that are incorporated by reference into this prospectus supplement. You should also carefully read the information incorporated by reference into this prospectus supplement, including Cibus’ financial statements, and the exhibits to the registration statement of which this prospectus supplement is a part.</w:t>
      </w:r>
    </w:p>
    <w:p>
      <w:pPr>
        <w:spacing w:after="0" w:line="213"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3"/>
          <w:szCs w:val="13"/>
          <w:b w:val="1"/>
          <w:bCs w:val="1"/>
          <w:color w:val="auto"/>
        </w:rPr>
        <w:t>Company Overview</w:t>
      </w:r>
    </w:p>
    <w:p>
      <w:pPr>
        <w:spacing w:after="0" w:line="96" w:lineRule="exact"/>
        <w:rPr>
          <w:sz w:val="20"/>
          <w:szCs w:val="20"/>
          <w:color w:val="auto"/>
        </w:rPr>
      </w:pPr>
    </w:p>
    <w:p>
      <w:pPr>
        <w:ind w:left="1660" w:right="559" w:firstLine="318"/>
        <w:spacing w:after="0" w:line="245" w:lineRule="auto"/>
        <w:rPr>
          <w:sz w:val="20"/>
          <w:szCs w:val="20"/>
          <w:color w:val="auto"/>
        </w:rPr>
      </w:pPr>
      <w:r>
        <w:rPr>
          <w:rFonts w:ascii="Times New Roman" w:cs="Times New Roman" w:eastAsia="Times New Roman" w:hAnsi="Times New Roman"/>
          <w:sz w:val="13"/>
          <w:szCs w:val="13"/>
          <w:color w:val="auto"/>
        </w:rPr>
        <w:t>Cibus is a leading agricultural biotechnology company that primarily uses proprietary gene editing technologies to develop plant traits, which are specific genetic characteristics in the DNA of a plant’s seed. Plant traits, or characteristics, influence how a resulting plant functions and/or interacts with its environment. Cibus produces these edited plant traits by a unique process that is endeavoring to change the scale and speed of plant breeding for many major agricultural crops. Over the course of its history, Cibus has developed a proprietary time bound and predictable gene editing platform referred to as the Rapid Trait Development System</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i w:val="1"/>
          <w:iCs w:val="1"/>
          <w:color w:val="auto"/>
        </w:rPr>
        <w:t>RTDS</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3"/>
          <w:szCs w:val="13"/>
          <w:color w:val="auto"/>
        </w:rPr>
        <w:t>”). This system allows the Company to edit gene targets that are the basis of novel traits that can be integrated into its customers’ best or elite seed genetics in as little as one year. The Company’s primary trait business opportunities continue to broaden as key jurisdictions around the world more closely align gene editing regulatory policies with those already in place for conventional breeding.</w:t>
      </w:r>
    </w:p>
    <w:p>
      <w:pPr>
        <w:spacing w:after="0" w:line="148" w:lineRule="exact"/>
        <w:rPr>
          <w:sz w:val="20"/>
          <w:szCs w:val="20"/>
          <w:color w:val="auto"/>
        </w:rPr>
      </w:pPr>
    </w:p>
    <w:p>
      <w:pPr>
        <w:ind w:left="1660" w:right="639" w:firstLine="318"/>
        <w:spacing w:after="0" w:line="265" w:lineRule="auto"/>
        <w:rPr>
          <w:sz w:val="20"/>
          <w:szCs w:val="20"/>
          <w:color w:val="auto"/>
        </w:rPr>
      </w:pPr>
      <w:r>
        <w:rPr>
          <w:rFonts w:ascii="Times New Roman" w:cs="Times New Roman" w:eastAsia="Times New Roman" w:hAnsi="Times New Roman"/>
          <w:sz w:val="13"/>
          <w:szCs w:val="13"/>
          <w:color w:val="auto"/>
        </w:rPr>
        <w:t>In the near term, Cibus’ priority pipeline program centers on Rice herbicide tolerance (HT) traits. Alongside its Rice program, Cibus also continues to advance its sustainable ingredients program, including lauric oils and bio fragrance products, the development of which is currently partially partner-funded and/or supported by a consumer-packaged goods partner. Management estimates that Cibus’ bio-fragrance business has a peak annual revenue potential of approximately $20-40 million, within a global bio-fragrance industry that has the potential to grow to become an approximately $75 billion market by 2030. The Company retains the rights to the remainder of its productivity trait portfolio and will opportunistically pursue partner-funded projects in such traits until such time as the Company’s capital resources are sufficient to efficiently support a more robust development effort.</w:t>
      </w:r>
    </w:p>
    <w:p>
      <w:pPr>
        <w:spacing w:after="0" w:line="211"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3"/>
          <w:szCs w:val="13"/>
          <w:b w:val="1"/>
          <w:bCs w:val="1"/>
          <w:color w:val="auto"/>
        </w:rPr>
        <w:t>Corporate Structure</w:t>
      </w:r>
    </w:p>
    <w:p>
      <w:pPr>
        <w:spacing w:after="0" w:line="96" w:lineRule="exact"/>
        <w:rPr>
          <w:sz w:val="20"/>
          <w:szCs w:val="20"/>
          <w:color w:val="auto"/>
        </w:rPr>
      </w:pPr>
    </w:p>
    <w:p>
      <w:pPr>
        <w:ind w:left="1660" w:right="699" w:firstLine="318"/>
        <w:spacing w:after="0" w:line="271" w:lineRule="auto"/>
        <w:rPr>
          <w:sz w:val="20"/>
          <w:szCs w:val="20"/>
          <w:color w:val="auto"/>
        </w:rPr>
      </w:pPr>
      <w:r>
        <w:rPr>
          <w:rFonts w:ascii="Times New Roman" w:cs="Times New Roman" w:eastAsia="Times New Roman" w:hAnsi="Times New Roman"/>
          <w:sz w:val="13"/>
          <w:szCs w:val="13"/>
          <w:color w:val="auto"/>
        </w:rPr>
        <w:t>Cibus, Inc. is a holding company with substantially all of its assets and operations conducted through Cibus Global, LLC (“Cibus Global”) and its subsidiaries. The Company’s sole material asset consists of its interest in Cibus Global. Cibus, Inc. is the sole managing member of Cibus Global and is responsible for all operational, management and administrative decisions relating to Cibus Global’s business and consolidates the financial results of Cibus Global and its subsidiaries.</w:t>
      </w:r>
    </w:p>
    <w:p>
      <w:pPr>
        <w:spacing w:after="0" w:line="208"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3"/>
          <w:szCs w:val="13"/>
          <w:b w:val="1"/>
          <w:bCs w:val="1"/>
          <w:color w:val="auto"/>
        </w:rPr>
        <w:t>Implications of Being a Smaller Reporting Company</w:t>
      </w:r>
    </w:p>
    <w:p>
      <w:pPr>
        <w:spacing w:after="0" w:line="96" w:lineRule="exact"/>
        <w:rPr>
          <w:sz w:val="20"/>
          <w:szCs w:val="20"/>
          <w:color w:val="auto"/>
        </w:rPr>
      </w:pPr>
    </w:p>
    <w:p>
      <w:pPr>
        <w:ind w:left="1660" w:right="759" w:firstLine="318"/>
        <w:spacing w:after="0" w:line="271" w:lineRule="auto"/>
        <w:rPr>
          <w:sz w:val="20"/>
          <w:szCs w:val="20"/>
          <w:color w:val="auto"/>
        </w:rPr>
      </w:pPr>
      <w:r>
        <w:rPr>
          <w:rFonts w:ascii="Times New Roman" w:cs="Times New Roman" w:eastAsia="Times New Roman" w:hAnsi="Times New Roman"/>
          <w:sz w:val="13"/>
          <w:szCs w:val="13"/>
          <w:color w:val="auto"/>
        </w:rPr>
        <w:t>Cibus, Inc. is a “smaller reporting company” as defined in the Securities Exchange Act of 1934 (the “Exchange Act”). The Company may continue to be a smaller reporting company even though the Company no longer qualifies as an “emerging growth company.” As a smaller reporting company, the Company is exempt from the auditor attestation requirements of the Sarbanes-Oxley Act of 2002 and may also take advantage of certain scaled disclosure accommodations. The Company may remain a smaller reporting company until the</w:t>
      </w:r>
    </w:p>
    <w:p>
      <w:pPr>
        <w:spacing w:after="0" w:line="222"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3"/>
          <w:szCs w:val="13"/>
          <w:color w:val="auto"/>
        </w:rPr>
        <w:t>S-1</w:t>
      </w:r>
    </w:p>
    <w:p>
      <w:pPr>
        <w:sectPr>
          <w:pgSz w:w="11900" w:h="16838" w:orient="portrait"/>
          <w:cols w:equalWidth="0" w:num="1">
            <w:col w:w="10159"/>
          </w:cols>
          <w:pgMar w:left="300" w:top="375" w:right="1440"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4">
                      <a:extLst>
                        <a:ext uri="{28A0092B-C50C-407E-A947-70E740481C1C}"/>
                      </a:extLst>
                    </a:blip>
                    <a:srcRect/>
                    <a:stretch>
                      <a:fillRect/>
                    </a:stretch>
                  </pic:blipFill>
                  <pic:spPr bwMode="auto">
                    <a:xfrm>
                      <a:off x="0" y="0"/>
                      <a:ext cx="7205345" cy="3175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969645</wp:posOffset>
            </wp:positionH>
            <wp:positionV relativeFrom="paragraph">
              <wp:posOffset>161925</wp:posOffset>
            </wp:positionV>
            <wp:extent cx="5227955" cy="12026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5">
                      <a:extLst>
                        <a:ext uri="{28A0092B-C50C-407E-A947-70E740481C1C}"/>
                      </a:extLst>
                    </a:blip>
                    <a:srcRect/>
                    <a:stretch>
                      <a:fillRect/>
                    </a:stretch>
                  </pic:blipFill>
                  <pic:spPr bwMode="auto">
                    <a:xfrm>
                      <a:off x="0" y="0"/>
                      <a:ext cx="5227955" cy="1202690"/>
                    </a:xfrm>
                    <a:prstGeom prst="rect">
                      <a:avLst/>
                    </a:prstGeom>
                    <a:noFill/>
                  </pic:spPr>
                </pic:pic>
              </a:graphicData>
            </a:graphic>
          </wp:anchor>
        </w:drawing>
      </w:r>
    </w:p>
    <w:p>
      <w:pPr>
        <w:spacing w:after="0" w:line="359" w:lineRule="exact"/>
        <w:rPr>
          <w:sz w:val="20"/>
          <w:szCs w:val="20"/>
          <w:color w:val="auto"/>
        </w:rPr>
      </w:pPr>
    </w:p>
    <w:p>
      <w:pPr>
        <w:ind w:left="1660" w:right="659"/>
        <w:spacing w:after="0" w:line="275" w:lineRule="auto"/>
        <w:rPr>
          <w:sz w:val="20"/>
          <w:szCs w:val="20"/>
          <w:color w:val="auto"/>
        </w:rPr>
      </w:pPr>
      <w:r>
        <w:rPr>
          <w:rFonts w:ascii="Times New Roman" w:cs="Times New Roman" w:eastAsia="Times New Roman" w:hAnsi="Times New Roman"/>
          <w:sz w:val="13"/>
          <w:szCs w:val="13"/>
          <w:color w:val="auto"/>
        </w:rPr>
        <w:t>fiscal year following the determination that its common stock held by non-affiliates is $250 million or more (measured on the last business day of the Company’s second fiscal quarter) or its annual revenues are $100 million or more during the most recently completed fiscal year and the Company’s common stock held by non-affiliates is $700 million or more (measured on the last business day of the Company’s second fiscal quarter).</w:t>
      </w:r>
    </w:p>
    <w:p>
      <w:pPr>
        <w:spacing w:after="0" w:line="369"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3"/>
          <w:szCs w:val="13"/>
          <w:b w:val="1"/>
          <w:bCs w:val="1"/>
          <w:color w:val="auto"/>
        </w:rPr>
        <w:t>Company Information</w:t>
      </w:r>
    </w:p>
    <w:p>
      <w:pPr>
        <w:spacing w:after="0" w:line="96" w:lineRule="exact"/>
        <w:rPr>
          <w:sz w:val="20"/>
          <w:szCs w:val="20"/>
          <w:color w:val="auto"/>
        </w:rPr>
      </w:pPr>
    </w:p>
    <w:p>
      <w:pPr>
        <w:ind w:left="1660" w:right="579" w:firstLine="318"/>
        <w:spacing w:after="0" w:line="278" w:lineRule="auto"/>
        <w:rPr>
          <w:sz w:val="20"/>
          <w:szCs w:val="20"/>
          <w:color w:val="auto"/>
        </w:rPr>
      </w:pPr>
      <w:r>
        <w:rPr>
          <w:rFonts w:ascii="Times New Roman" w:cs="Times New Roman" w:eastAsia="Times New Roman" w:hAnsi="Times New Roman"/>
          <w:sz w:val="13"/>
          <w:szCs w:val="13"/>
          <w:color w:val="auto"/>
        </w:rPr>
        <w:t>The Company’s Class A Common Stock trades on Nasdaq under the symbol “CBUS.” The Company’s principal executive offices are located at 6455 Nancy Ridge Drive, San Diego, CA 92121 and its telephone number is (858) 450-0008. Cibus’ filings with the SEC are posted on its corporate website at www.cibus.com. The information found on the Company’s website is not part of this prospectus supplement.</w:t>
      </w:r>
    </w:p>
    <w:p>
      <w:pPr>
        <w:spacing w:after="0" w:line="216"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3"/>
          <w:szCs w:val="13"/>
          <w:color w:val="auto"/>
        </w:rPr>
        <w:t>S-2</w:t>
      </w:r>
    </w:p>
    <w:p>
      <w:pPr>
        <w:sectPr>
          <w:pgSz w:w="11900" w:h="16838" w:orient="portrait"/>
          <w:cols w:equalWidth="0" w:num="1">
            <w:col w:w="10159"/>
          </w:cols>
          <w:pgMar w:left="300" w:top="375" w:right="1440"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6">
                      <a:extLst>
                        <a:ext uri="{28A0092B-C50C-407E-A947-70E740481C1C}"/>
                      </a:extLst>
                    </a:blip>
                    <a:srcRect/>
                    <a:stretch>
                      <a:fillRect/>
                    </a:stretch>
                  </pic:blipFill>
                  <pic:spPr bwMode="auto">
                    <a:xfrm>
                      <a:off x="0" y="0"/>
                      <a:ext cx="7205345" cy="3175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969645</wp:posOffset>
            </wp:positionH>
            <wp:positionV relativeFrom="paragraph">
              <wp:posOffset>161925</wp:posOffset>
            </wp:positionV>
            <wp:extent cx="5227955" cy="41852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7">
                      <a:extLst>
                        <a:ext uri="{28A0092B-C50C-407E-A947-70E740481C1C}"/>
                      </a:extLst>
                    </a:blip>
                    <a:srcRect/>
                    <a:stretch>
                      <a:fillRect/>
                    </a:stretch>
                  </pic:blipFill>
                  <pic:spPr bwMode="auto">
                    <a:xfrm>
                      <a:off x="0" y="0"/>
                      <a:ext cx="5227955" cy="4185285"/>
                    </a:xfrm>
                    <a:prstGeom prst="rect">
                      <a:avLst/>
                    </a:prstGeom>
                    <a:noFill/>
                  </pic:spPr>
                </pic:pic>
              </a:graphicData>
            </a:graphic>
          </wp:anchor>
        </w:drawing>
      </w:r>
    </w:p>
    <w:p>
      <w:pPr>
        <w:spacing w:after="0" w:line="355"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3"/>
          <w:szCs w:val="13"/>
          <w:b w:val="1"/>
          <w:bCs w:val="1"/>
          <w:color w:val="auto"/>
        </w:rPr>
        <w:t>THE OFFERING</w:t>
      </w:r>
    </w:p>
    <w:p>
      <w:pPr>
        <w:sectPr>
          <w:pgSz w:w="11900" w:h="16838" w:orient="portrait"/>
          <w:cols w:equalWidth="0" w:num="1">
            <w:col w:w="10159"/>
          </w:cols>
          <w:pgMar w:left="300" w:top="375" w:right="1440" w:bottom="1440" w:gutter="0" w:footer="0" w:header="0"/>
        </w:sectPr>
      </w:pPr>
    </w:p>
    <w:p>
      <w:pPr>
        <w:spacing w:after="0" w:line="197"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3"/>
          <w:szCs w:val="13"/>
          <w:color w:val="auto"/>
        </w:rPr>
        <w:t>Class A Common Stock Offered by Cibus in this</w:t>
      </w:r>
    </w:p>
    <w:p>
      <w:pPr>
        <w:spacing w:after="0" w:line="24"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3"/>
          <w:szCs w:val="13"/>
          <w:color w:val="auto"/>
        </w:rPr>
        <w:t>Offering</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ind w:right="919"/>
        <w:spacing w:after="0" w:line="297" w:lineRule="auto"/>
        <w:rPr>
          <w:sz w:val="20"/>
          <w:szCs w:val="20"/>
          <w:color w:val="auto"/>
        </w:rPr>
      </w:pPr>
      <w:r>
        <w:rPr>
          <w:rFonts w:ascii="Times New Roman" w:cs="Times New Roman" w:eastAsia="Times New Roman" w:hAnsi="Times New Roman"/>
          <w:sz w:val="13"/>
          <w:szCs w:val="13"/>
          <w:color w:val="auto"/>
        </w:rPr>
        <w:t>Shares of Cibus’ Class A Common Stock having an aggregate offering price of up to $50,000,000.</w:t>
      </w:r>
    </w:p>
    <w:p>
      <w:pPr>
        <w:spacing w:after="0" w:line="144" w:lineRule="exact"/>
        <w:rPr>
          <w:sz w:val="20"/>
          <w:szCs w:val="20"/>
          <w:color w:val="auto"/>
        </w:rPr>
      </w:pPr>
    </w:p>
    <w:p>
      <w:pPr>
        <w:sectPr>
          <w:pgSz w:w="11900" w:h="16838" w:orient="portrait"/>
          <w:cols w:equalWidth="0" w:num="2">
            <w:col w:w="4280" w:space="400"/>
            <w:col w:w="5479"/>
          </w:cols>
          <w:pgMar w:left="300" w:top="375" w:right="1440" w:bottom="1440" w:gutter="0" w:footer="0" w:header="0"/>
          <w:type w:val="continuous"/>
        </w:sectPr>
      </w:pPr>
    </w:p>
    <w:p>
      <w:pPr>
        <w:ind w:left="1660"/>
        <w:spacing w:after="0"/>
        <w:rPr>
          <w:sz w:val="20"/>
          <w:szCs w:val="20"/>
          <w:color w:val="auto"/>
        </w:rPr>
      </w:pPr>
      <w:r>
        <w:rPr>
          <w:rFonts w:ascii="Times New Roman" w:cs="Times New Roman" w:eastAsia="Times New Roman" w:hAnsi="Times New Roman"/>
          <w:sz w:val="13"/>
          <w:szCs w:val="13"/>
          <w:color w:val="auto"/>
        </w:rPr>
        <w:t>Shares to be Outstanding After This Offering</w:t>
      </w:r>
    </w:p>
    <w:p>
      <w:pPr>
        <w:spacing w:after="0" w:line="20" w:lineRule="exact"/>
        <w:rPr>
          <w:sz w:val="20"/>
          <w:szCs w:val="20"/>
          <w:color w:val="auto"/>
        </w:rPr>
      </w:pPr>
      <w:r>
        <w:rPr>
          <w:sz w:val="20"/>
          <w:szCs w:val="20"/>
          <w:color w:val="auto"/>
        </w:rPr>
        <w:br w:type="column"/>
      </w:r>
    </w:p>
    <w:p>
      <w:pPr>
        <w:ind w:right="559"/>
        <w:spacing w:after="0" w:line="268" w:lineRule="auto"/>
        <w:rPr>
          <w:sz w:val="20"/>
          <w:szCs w:val="20"/>
          <w:color w:val="auto"/>
        </w:rPr>
      </w:pPr>
      <w:r>
        <w:rPr>
          <w:rFonts w:ascii="Times New Roman" w:cs="Times New Roman" w:eastAsia="Times New Roman" w:hAnsi="Times New Roman"/>
          <w:sz w:val="13"/>
          <w:szCs w:val="13"/>
          <w:color w:val="auto"/>
        </w:rPr>
        <w:t>Up to 109,679,069 shares of Class A Common Stock and no shares of Class B Common Stock, $0.0001 par value (the “Class B Common Stock”), assuming the sale of 33,333,333 shares of Class A Common Stock in this offering at an assumed offering price of $1.50 per share. The actual number of shares of Class A Common Stock issued will vary depending on the sales price under this offering.</w:t>
      </w:r>
    </w:p>
    <w:p>
      <w:pPr>
        <w:spacing w:after="0" w:line="153" w:lineRule="exact"/>
        <w:rPr>
          <w:sz w:val="20"/>
          <w:szCs w:val="20"/>
          <w:color w:val="auto"/>
        </w:rPr>
      </w:pPr>
    </w:p>
    <w:p>
      <w:pPr>
        <w:sectPr>
          <w:pgSz w:w="11900" w:h="16838" w:orient="portrait"/>
          <w:cols w:equalWidth="0" w:num="2">
            <w:col w:w="4100" w:space="580"/>
            <w:col w:w="5479"/>
          </w:cols>
          <w:pgMar w:left="300" w:top="375" w:right="1440" w:bottom="1440" w:gutter="0" w:footer="0" w:header="0"/>
          <w:type w:val="continuous"/>
        </w:sectPr>
      </w:pPr>
    </w:p>
    <w:p>
      <w:pPr>
        <w:ind w:left="1660"/>
        <w:spacing w:after="0"/>
        <w:rPr>
          <w:sz w:val="20"/>
          <w:szCs w:val="20"/>
          <w:color w:val="auto"/>
        </w:rPr>
      </w:pPr>
      <w:r>
        <w:rPr>
          <w:rFonts w:ascii="Times New Roman" w:cs="Times New Roman" w:eastAsia="Times New Roman" w:hAnsi="Times New Roman"/>
          <w:sz w:val="13"/>
          <w:szCs w:val="13"/>
          <w:color w:val="auto"/>
        </w:rPr>
        <w:t>Plan of Distribution</w:t>
      </w:r>
    </w:p>
    <w:p>
      <w:pPr>
        <w:spacing w:after="0" w:line="20" w:lineRule="exact"/>
        <w:rPr>
          <w:sz w:val="20"/>
          <w:szCs w:val="20"/>
          <w:color w:val="auto"/>
        </w:rPr>
      </w:pPr>
      <w:r>
        <w:rPr>
          <w:sz w:val="20"/>
          <w:szCs w:val="20"/>
          <w:color w:val="auto"/>
        </w:rPr>
        <w:br w:type="column"/>
      </w:r>
    </w:p>
    <w:p>
      <w:pPr>
        <w:ind w:right="839"/>
        <w:spacing w:after="0" w:line="297" w:lineRule="auto"/>
        <w:rPr>
          <w:sz w:val="20"/>
          <w:szCs w:val="20"/>
          <w:color w:val="auto"/>
        </w:rPr>
      </w:pPr>
      <w:r>
        <w:rPr>
          <w:rFonts w:ascii="Times New Roman" w:cs="Times New Roman" w:eastAsia="Times New Roman" w:hAnsi="Times New Roman"/>
          <w:sz w:val="13"/>
          <w:szCs w:val="13"/>
          <w:color w:val="auto"/>
        </w:rPr>
        <w:t>“At the market offering” that may be made from time to time through Jefferies, who is acting as sales agent. See “Plan of Distribution” on page S-19.</w:t>
      </w:r>
    </w:p>
    <w:p>
      <w:pPr>
        <w:spacing w:after="0" w:line="134" w:lineRule="exact"/>
        <w:rPr>
          <w:sz w:val="20"/>
          <w:szCs w:val="20"/>
          <w:color w:val="auto"/>
        </w:rPr>
      </w:pPr>
    </w:p>
    <w:p>
      <w:pPr>
        <w:sectPr>
          <w:pgSz w:w="11900" w:h="16838" w:orient="portrait"/>
          <w:cols w:equalWidth="0" w:num="2">
            <w:col w:w="3960" w:space="720"/>
            <w:col w:w="5479"/>
          </w:cols>
          <w:pgMar w:left="300" w:top="375" w:right="1440" w:bottom="1440" w:gutter="0" w:footer="0" w:header="0"/>
          <w:type w:val="continuous"/>
        </w:sectPr>
      </w:pPr>
    </w:p>
    <w:p>
      <w:pPr>
        <w:ind w:left="1660"/>
        <w:spacing w:after="0"/>
        <w:rPr>
          <w:sz w:val="20"/>
          <w:szCs w:val="20"/>
          <w:color w:val="auto"/>
        </w:rPr>
      </w:pPr>
      <w:r>
        <w:rPr>
          <w:rFonts w:ascii="Times New Roman" w:cs="Times New Roman" w:eastAsia="Times New Roman" w:hAnsi="Times New Roman"/>
          <w:sz w:val="13"/>
          <w:szCs w:val="13"/>
          <w:color w:val="auto"/>
        </w:rPr>
        <w:t>Use of Proceeds</w:t>
      </w:r>
    </w:p>
    <w:p>
      <w:pPr>
        <w:spacing w:after="0" w:line="20" w:lineRule="exact"/>
        <w:rPr>
          <w:sz w:val="20"/>
          <w:szCs w:val="20"/>
          <w:color w:val="auto"/>
        </w:rPr>
      </w:pPr>
      <w:r>
        <w:rPr>
          <w:sz w:val="20"/>
          <w:szCs w:val="20"/>
          <w:color w:val="auto"/>
        </w:rPr>
        <w:br w:type="column"/>
      </w:r>
    </w:p>
    <w:p>
      <w:pPr>
        <w:ind w:right="619"/>
        <w:spacing w:after="0" w:line="268" w:lineRule="auto"/>
        <w:rPr>
          <w:sz w:val="20"/>
          <w:szCs w:val="20"/>
          <w:color w:val="auto"/>
        </w:rPr>
      </w:pPr>
      <w:r>
        <w:rPr>
          <w:rFonts w:ascii="Times New Roman" w:cs="Times New Roman" w:eastAsia="Times New Roman" w:hAnsi="Times New Roman"/>
          <w:sz w:val="13"/>
          <w:szCs w:val="13"/>
          <w:color w:val="auto"/>
        </w:rPr>
        <w:t>Cibus’ management will retain broad discretion regarding the allocation and use of the net proceeds. Cibus currently intends to use the net proceeds from this offering for working capital and general corporate purposes, including to fund further development of its weed management traits in Rice and facilities-related costs and expenses. See the section titled “Use of Proceeds.”</w:t>
      </w:r>
    </w:p>
    <w:p>
      <w:pPr>
        <w:spacing w:after="0" w:line="153" w:lineRule="exact"/>
        <w:rPr>
          <w:sz w:val="20"/>
          <w:szCs w:val="20"/>
          <w:color w:val="auto"/>
        </w:rPr>
      </w:pPr>
    </w:p>
    <w:p>
      <w:pPr>
        <w:sectPr>
          <w:pgSz w:w="11900" w:h="16838" w:orient="portrait"/>
          <w:cols w:equalWidth="0" w:num="2">
            <w:col w:w="3960" w:space="720"/>
            <w:col w:w="5479"/>
          </w:cols>
          <w:pgMar w:left="300" w:top="375" w:right="1440" w:bottom="1440" w:gutter="0" w:footer="0" w:header="0"/>
          <w:type w:val="continuous"/>
        </w:sectPr>
      </w:pPr>
    </w:p>
    <w:p>
      <w:pPr>
        <w:ind w:left="1660"/>
        <w:spacing w:after="0"/>
        <w:rPr>
          <w:sz w:val="20"/>
          <w:szCs w:val="20"/>
          <w:color w:val="auto"/>
        </w:rPr>
      </w:pPr>
      <w:r>
        <w:rPr>
          <w:rFonts w:ascii="Times New Roman" w:cs="Times New Roman" w:eastAsia="Times New Roman" w:hAnsi="Times New Roman"/>
          <w:sz w:val="13"/>
          <w:szCs w:val="13"/>
          <w:color w:val="auto"/>
        </w:rPr>
        <w:t>Risk Factors</w:t>
      </w:r>
    </w:p>
    <w:p>
      <w:pPr>
        <w:spacing w:after="0" w:line="20" w:lineRule="exact"/>
        <w:rPr>
          <w:sz w:val="20"/>
          <w:szCs w:val="20"/>
          <w:color w:val="auto"/>
        </w:rPr>
      </w:pPr>
      <w:r>
        <w:rPr>
          <w:sz w:val="20"/>
          <w:szCs w:val="20"/>
          <w:color w:val="auto"/>
        </w:rPr>
        <w:br w:type="column"/>
      </w:r>
    </w:p>
    <w:p>
      <w:pPr>
        <w:ind w:right="659"/>
        <w:spacing w:after="0" w:line="271" w:lineRule="auto"/>
        <w:rPr>
          <w:sz w:val="20"/>
          <w:szCs w:val="20"/>
          <w:color w:val="auto"/>
        </w:rPr>
      </w:pPr>
      <w:r>
        <w:rPr>
          <w:rFonts w:ascii="Times New Roman" w:cs="Times New Roman" w:eastAsia="Times New Roman" w:hAnsi="Times New Roman"/>
          <w:sz w:val="13"/>
          <w:szCs w:val="13"/>
          <w:color w:val="auto"/>
        </w:rPr>
        <w:t>Investment in the Company’s Class A Common Stock involves a high degree of risk. You should read the section titled “Risk Factors” in this prospectus supplement and in the documents incorporated by reference into this prospectus supplement for a discussion of factors to consider before deciding to purchase shares of Class A Common Stock.</w:t>
      </w:r>
    </w:p>
    <w:p>
      <w:pPr>
        <w:spacing w:after="0" w:line="151" w:lineRule="exact"/>
        <w:rPr>
          <w:sz w:val="20"/>
          <w:szCs w:val="20"/>
          <w:color w:val="auto"/>
        </w:rPr>
      </w:pPr>
    </w:p>
    <w:p>
      <w:pPr>
        <w:sectPr>
          <w:pgSz w:w="11900" w:h="16838" w:orient="portrait"/>
          <w:cols w:equalWidth="0" w:num="2">
            <w:col w:w="3960" w:space="720"/>
            <w:col w:w="5479"/>
          </w:cols>
          <w:pgMar w:left="300" w:top="375" w:right="1440" w:bottom="1440" w:gutter="0" w:footer="0" w:header="0"/>
          <w:type w:val="continuous"/>
        </w:sectPr>
      </w:pPr>
    </w:p>
    <w:p>
      <w:pPr>
        <w:ind w:left="1660"/>
        <w:spacing w:after="0"/>
        <w:rPr>
          <w:sz w:val="20"/>
          <w:szCs w:val="20"/>
          <w:color w:val="auto"/>
        </w:rPr>
      </w:pPr>
      <w:r>
        <w:rPr>
          <w:rFonts w:ascii="Times New Roman" w:cs="Times New Roman" w:eastAsia="Times New Roman" w:hAnsi="Times New Roman"/>
          <w:sz w:val="13"/>
          <w:szCs w:val="13"/>
          <w:color w:val="auto"/>
        </w:rPr>
        <w:t>Nasdaq Capital Market Symbol</w:t>
      </w:r>
    </w:p>
    <w:p>
      <w:pPr>
        <w:spacing w:after="0" w:line="20" w:lineRule="exact"/>
        <w:rPr>
          <w:sz w:val="20"/>
          <w:szCs w:val="20"/>
          <w:color w:val="auto"/>
        </w:rPr>
      </w:pPr>
      <w:r>
        <w:rPr>
          <w:sz w:val="20"/>
          <w:szCs w:val="20"/>
          <w:color w:val="auto"/>
        </w:rPr>
        <w:br w:type="column"/>
      </w:r>
    </w:p>
    <w:p>
      <w:pPr>
        <w:jc w:val="center"/>
        <w:ind w:right="1339"/>
        <w:spacing w:after="0"/>
        <w:rPr>
          <w:sz w:val="20"/>
          <w:szCs w:val="20"/>
          <w:color w:val="auto"/>
        </w:rPr>
      </w:pPr>
      <w:r>
        <w:rPr>
          <w:rFonts w:ascii="Times New Roman" w:cs="Times New Roman" w:eastAsia="Times New Roman" w:hAnsi="Times New Roman"/>
          <w:sz w:val="13"/>
          <w:szCs w:val="13"/>
          <w:color w:val="auto"/>
        </w:rPr>
        <w:t>The Class A Common Stock is traded on Nasdaq under the symbol “CBUS.”</w:t>
      </w:r>
    </w:p>
    <w:p>
      <w:pPr>
        <w:spacing w:after="0" w:line="183" w:lineRule="exact"/>
        <w:rPr>
          <w:sz w:val="20"/>
          <w:szCs w:val="20"/>
          <w:color w:val="auto"/>
        </w:rPr>
      </w:pPr>
    </w:p>
    <w:p>
      <w:pPr>
        <w:sectPr>
          <w:pgSz w:w="11900" w:h="16838" w:orient="portrait"/>
          <w:cols w:equalWidth="0" w:num="2">
            <w:col w:w="3960" w:space="720"/>
            <w:col w:w="5479"/>
          </w:cols>
          <w:pgMar w:left="300" w:top="375" w:right="1440" w:bottom="1440" w:gutter="0" w:footer="0" w:header="0"/>
          <w:type w:val="continuous"/>
        </w:sectPr>
      </w:pPr>
    </w:p>
    <w:p>
      <w:pPr>
        <w:ind w:left="1660" w:right="859" w:firstLine="318"/>
        <w:spacing w:after="0" w:line="278" w:lineRule="auto"/>
        <w:rPr>
          <w:sz w:val="20"/>
          <w:szCs w:val="20"/>
          <w:color w:val="auto"/>
        </w:rPr>
      </w:pPr>
      <w:r>
        <w:rPr>
          <w:rFonts w:ascii="Times New Roman" w:cs="Times New Roman" w:eastAsia="Times New Roman" w:hAnsi="Times New Roman"/>
          <w:sz w:val="13"/>
          <w:szCs w:val="13"/>
          <w:color w:val="auto"/>
        </w:rPr>
        <w:t>The number of shares to be outstanding after this offering is based on 76,345,736 shares of Class A Common Stock (inclusive of 62,641 shares of restricted Class A Common Stock, which are outstanding, subject to vesting conditions) and no shares of Class B Common Stock outstanding as of March 31, 2026 and excludes, in each case as of that date (unless otherwise indicated):</w:t>
      </w:r>
    </w:p>
    <w:p>
      <w:pPr>
        <w:spacing w:after="0" w:line="55" w:lineRule="exact"/>
        <w:rPr>
          <w:sz w:val="20"/>
          <w:szCs w:val="20"/>
          <w:color w:val="auto"/>
        </w:rPr>
      </w:pPr>
    </w:p>
    <w:p>
      <w:pPr>
        <w:ind w:left="2360" w:right="619" w:hanging="298"/>
        <w:spacing w:after="0" w:line="297" w:lineRule="auto"/>
        <w:tabs>
          <w:tab w:leader="none" w:pos="236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1,434,633 shares of Class A Common Stock issuable upon the exercise of outstanding stock options with a weighted average exercise price of $27.48 per share;</w:t>
      </w:r>
    </w:p>
    <w:p>
      <w:pPr>
        <w:spacing w:after="0" w:line="43" w:lineRule="exact"/>
        <w:rPr>
          <w:rFonts w:ascii="Times New Roman" w:cs="Times New Roman" w:eastAsia="Times New Roman" w:hAnsi="Times New Roman"/>
          <w:sz w:val="13"/>
          <w:szCs w:val="13"/>
          <w:color w:val="auto"/>
        </w:rPr>
      </w:pPr>
    </w:p>
    <w:p>
      <w:pPr>
        <w:ind w:left="2360" w:hanging="298"/>
        <w:spacing w:after="0"/>
        <w:tabs>
          <w:tab w:leader="none" w:pos="236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1,171,264 shares of Class A Common Stock issuable upon the vesting and settlement of restricted stock units outstanding;</w:t>
      </w:r>
    </w:p>
    <w:p>
      <w:pPr>
        <w:spacing w:after="0" w:line="102" w:lineRule="exact"/>
        <w:rPr>
          <w:rFonts w:ascii="Times New Roman" w:cs="Times New Roman" w:eastAsia="Times New Roman" w:hAnsi="Times New Roman"/>
          <w:sz w:val="13"/>
          <w:szCs w:val="13"/>
          <w:color w:val="auto"/>
        </w:rPr>
      </w:pPr>
    </w:p>
    <w:p>
      <w:pPr>
        <w:ind w:left="2360" w:hanging="298"/>
        <w:spacing w:after="0"/>
        <w:tabs>
          <w:tab w:leader="none" w:pos="236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5,305,236 shares of Class A Common Stock reserved for future issuance under the Company’s equity compensation plan;</w:t>
      </w:r>
    </w:p>
    <w:p>
      <w:pPr>
        <w:spacing w:after="0" w:line="102" w:lineRule="exact"/>
        <w:rPr>
          <w:rFonts w:ascii="Times New Roman" w:cs="Times New Roman" w:eastAsia="Times New Roman" w:hAnsi="Times New Roman"/>
          <w:sz w:val="13"/>
          <w:szCs w:val="13"/>
          <w:color w:val="auto"/>
        </w:rPr>
      </w:pPr>
    </w:p>
    <w:p>
      <w:pPr>
        <w:ind w:left="2360" w:right="839" w:hanging="298"/>
        <w:spacing w:after="0" w:line="297" w:lineRule="auto"/>
        <w:tabs>
          <w:tab w:leader="none" w:pos="236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158,483 shares of Class A Common Stock issuable upon exercise of outstanding common warrants to purchase Class A Common Stock, each with an exercise price of $69.04 per share of Class A Common Stock;</w:t>
      </w:r>
    </w:p>
    <w:p>
      <w:pPr>
        <w:spacing w:after="0" w:line="204"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3"/>
          <w:szCs w:val="13"/>
          <w:color w:val="auto"/>
        </w:rPr>
        <w:t>S-3</w:t>
      </w:r>
    </w:p>
    <w:p>
      <w:pPr>
        <w:sectPr>
          <w:pgSz w:w="11900" w:h="16838" w:orient="portrait"/>
          <w:cols w:equalWidth="0" w:num="1">
            <w:col w:w="10159"/>
          </w:cols>
          <w:pgMar w:left="300" w:top="375" w:right="1440"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8">
                      <a:extLst>
                        <a:ext uri="{28A0092B-C50C-407E-A947-70E740481C1C}"/>
                      </a:extLst>
                    </a:blip>
                    <a:srcRect/>
                    <a:stretch>
                      <a:fillRect/>
                    </a:stretch>
                  </pic:blipFill>
                  <pic:spPr bwMode="auto">
                    <a:xfrm>
                      <a:off x="0" y="0"/>
                      <a:ext cx="7205345" cy="3175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969645</wp:posOffset>
            </wp:positionH>
            <wp:positionV relativeFrom="paragraph">
              <wp:posOffset>161925</wp:posOffset>
            </wp:positionV>
            <wp:extent cx="5227955" cy="13182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9">
                      <a:extLst>
                        <a:ext uri="{28A0092B-C50C-407E-A947-70E740481C1C}"/>
                      </a:extLst>
                    </a:blip>
                    <a:srcRect/>
                    <a:stretch>
                      <a:fillRect/>
                    </a:stretch>
                  </pic:blipFill>
                  <pic:spPr bwMode="auto">
                    <a:xfrm>
                      <a:off x="0" y="0"/>
                      <a:ext cx="5227955" cy="1318260"/>
                    </a:xfrm>
                    <a:prstGeom prst="rect">
                      <a:avLst/>
                    </a:prstGeom>
                    <a:noFill/>
                  </pic:spPr>
                </pic:pic>
              </a:graphicData>
            </a:graphic>
          </wp:anchor>
        </w:drawing>
      </w:r>
    </w:p>
    <w:p>
      <w:pPr>
        <w:spacing w:after="0" w:line="359" w:lineRule="exact"/>
        <w:rPr>
          <w:sz w:val="20"/>
          <w:szCs w:val="20"/>
          <w:color w:val="auto"/>
        </w:rPr>
      </w:pPr>
    </w:p>
    <w:p>
      <w:pPr>
        <w:ind w:left="2360" w:right="739" w:hanging="298"/>
        <w:spacing w:after="0" w:line="297" w:lineRule="auto"/>
        <w:tabs>
          <w:tab w:leader="none" w:pos="2360"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1,298,040 shares of Class A Common Stock issuable upon exercise of outstanding common warrants to purchase Class A Common Stock, of which 1,198,040 have an exercise price of $2.50 per share and 100,000 have an exercise price of $10.00 per share;</w:t>
      </w:r>
    </w:p>
    <w:p>
      <w:pPr>
        <w:spacing w:after="0" w:line="43" w:lineRule="exact"/>
        <w:rPr>
          <w:rFonts w:ascii="Times New Roman" w:cs="Times New Roman" w:eastAsia="Times New Roman" w:hAnsi="Times New Roman"/>
          <w:sz w:val="13"/>
          <w:szCs w:val="13"/>
          <w:color w:val="auto"/>
        </w:rPr>
      </w:pPr>
    </w:p>
    <w:p>
      <w:pPr>
        <w:ind w:left="2360" w:right="699" w:hanging="298"/>
        <w:spacing w:after="0" w:line="297" w:lineRule="auto"/>
        <w:tabs>
          <w:tab w:leader="none" w:pos="2360"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9,040,000 shares of Class A Common Stock issuable upon exercise of outstanding common warrants, each with an exercise price of $2.50 per share of Class A Common Stock; and</w:t>
      </w:r>
    </w:p>
    <w:p>
      <w:pPr>
        <w:spacing w:after="0" w:line="43" w:lineRule="exact"/>
        <w:rPr>
          <w:rFonts w:ascii="Times New Roman" w:cs="Times New Roman" w:eastAsia="Times New Roman" w:hAnsi="Times New Roman"/>
          <w:sz w:val="13"/>
          <w:szCs w:val="13"/>
          <w:color w:val="auto"/>
        </w:rPr>
      </w:pPr>
    </w:p>
    <w:p>
      <w:pPr>
        <w:ind w:left="2360" w:right="699" w:hanging="298"/>
        <w:spacing w:after="0" w:line="297" w:lineRule="auto"/>
        <w:tabs>
          <w:tab w:leader="none" w:pos="2360"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400,000 shares of Class A Common Stock issuable upon exercise of outstanding pre-funded warrants, each with an exercise price of $0.0001.</w:t>
      </w:r>
    </w:p>
    <w:p>
      <w:pPr>
        <w:spacing w:after="0" w:line="114" w:lineRule="exact"/>
        <w:rPr>
          <w:sz w:val="20"/>
          <w:szCs w:val="20"/>
          <w:color w:val="auto"/>
        </w:rPr>
      </w:pPr>
    </w:p>
    <w:p>
      <w:pPr>
        <w:ind w:left="1660" w:right="679" w:firstLine="318"/>
        <w:spacing w:after="0" w:line="278" w:lineRule="auto"/>
        <w:rPr>
          <w:sz w:val="20"/>
          <w:szCs w:val="20"/>
          <w:color w:val="auto"/>
        </w:rPr>
      </w:pPr>
      <w:r>
        <w:rPr>
          <w:rFonts w:ascii="Times New Roman" w:cs="Times New Roman" w:eastAsia="Times New Roman" w:hAnsi="Times New Roman"/>
          <w:sz w:val="13"/>
          <w:szCs w:val="13"/>
          <w:color w:val="auto"/>
        </w:rPr>
        <w:t>Unless otherwise stated, information in this prospectus supplement assumes no further exercise of outstanding options or warrants and no future issuances by Cibus of shares of its Class A Common Stock or securities convertible into or exercisable for Cibus’ Class A Common Stock, including as part of any future offerings of such securities.</w:t>
      </w:r>
    </w:p>
    <w:p>
      <w:pPr>
        <w:spacing w:after="0" w:line="216"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3"/>
          <w:szCs w:val="13"/>
          <w:color w:val="auto"/>
        </w:rPr>
        <w:t>S-4</w:t>
      </w:r>
    </w:p>
    <w:p>
      <w:pPr>
        <w:sectPr>
          <w:pgSz w:w="11900" w:h="16838" w:orient="portrait"/>
          <w:cols w:equalWidth="0" w:num="1">
            <w:col w:w="10159"/>
          </w:cols>
          <w:pgMar w:left="300" w:top="375" w:right="1440"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0">
                      <a:extLst>
                        <a:ext uri="{28A0092B-C50C-407E-A947-70E740481C1C}"/>
                      </a:extLst>
                    </a:blip>
                    <a:srcRect/>
                    <a:stretch>
                      <a:fillRect/>
                    </a:stretch>
                  </pic:blipFill>
                  <pic:spPr bwMode="auto">
                    <a:xfrm>
                      <a:off x="0" y="0"/>
                      <a:ext cx="7205345" cy="31750"/>
                    </a:xfrm>
                    <a:prstGeom prst="rect">
                      <a:avLst/>
                    </a:prstGeom>
                    <a:noFill/>
                  </pic:spPr>
                </pic:pic>
              </a:graphicData>
            </a:graphic>
          </wp:anchor>
        </w:drawing>
        <w:t>Table of Contents</w:t>
      </w:r>
    </w:p>
    <w:p>
      <w:pPr>
        <w:spacing w:after="0" w:line="24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RISK FACTORS</w:t>
      </w:r>
    </w:p>
    <w:p>
      <w:pPr>
        <w:spacing w:after="0" w:line="175" w:lineRule="exact"/>
        <w:rPr>
          <w:sz w:val="20"/>
          <w:szCs w:val="20"/>
          <w:color w:val="auto"/>
        </w:rPr>
      </w:pPr>
    </w:p>
    <w:p>
      <w:pPr>
        <w:ind w:left="1540" w:right="419" w:firstLine="329"/>
        <w:spacing w:after="0" w:line="264" w:lineRule="auto"/>
        <w:rPr>
          <w:sz w:val="20"/>
          <w:szCs w:val="20"/>
          <w:color w:val="auto"/>
        </w:rPr>
      </w:pPr>
      <w:r>
        <w:rPr>
          <w:rFonts w:ascii="Times New Roman" w:cs="Times New Roman" w:eastAsia="Times New Roman" w:hAnsi="Times New Roman"/>
          <w:sz w:val="13"/>
          <w:szCs w:val="13"/>
          <w:i w:val="1"/>
          <w:iCs w:val="1"/>
          <w:color w:val="auto"/>
        </w:rPr>
        <w:t>You should consider carefully the risks described below and those risk factors described under the heading “Item 1.A. Risk Factors” in the Company’s Annual Report on Form 10-K for the fiscal year ended December 31, 2025, as may be updated by Cibus’ subsequent filings under the Exchange Act that are incorporated by reference in this prospectus supplement, in their entirety, together with other information in this prospectus supplement and the information and documents incorporated by reference in this prospectus supplement and any free writing prospectus that Cibus may authorize for use in connection with this offering before you make a decision to invest in the Company’s securities. If any of these risks actually occur, Cibus’ business, operating results, prospects or financial condition could be harmed. This could cause the trading price of the Class A Common Stock to decline and you may lose all or part of your investment. The risks below and incorporated by reference in this prospectus supplement are not the only ones the Company faces. Additional risks not currently known to Cibus or that the Company currently deems immaterial may also affect Cibus’ business operations and financial performance. Please also read carefully the section below titled “Cautionary Note Regarding Forward-Looking Statements.”</w:t>
      </w:r>
    </w:p>
    <w:p>
      <w:pPr>
        <w:spacing w:after="0" w:line="211"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3"/>
          <w:szCs w:val="13"/>
          <w:b w:val="1"/>
          <w:bCs w:val="1"/>
          <w:color w:val="auto"/>
        </w:rPr>
        <w:t>Risks Relating to the Offering</w:t>
      </w:r>
    </w:p>
    <w:p>
      <w:pPr>
        <w:spacing w:after="0" w:line="92"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3"/>
          <w:szCs w:val="13"/>
          <w:b w:val="1"/>
          <w:bCs w:val="1"/>
          <w:i w:val="1"/>
          <w:iCs w:val="1"/>
          <w:color w:val="auto"/>
        </w:rPr>
        <w:t>You may experience immediate dilution in the net tangible book value per share of the Class A Common Stock you purchase.</w:t>
      </w:r>
    </w:p>
    <w:p>
      <w:pPr>
        <w:spacing w:after="0" w:line="96" w:lineRule="exact"/>
        <w:rPr>
          <w:sz w:val="20"/>
          <w:szCs w:val="20"/>
          <w:color w:val="auto"/>
        </w:rPr>
      </w:pPr>
    </w:p>
    <w:p>
      <w:pPr>
        <w:ind w:left="1540" w:right="519" w:firstLine="329"/>
        <w:spacing w:after="0" w:line="265" w:lineRule="auto"/>
        <w:rPr>
          <w:sz w:val="20"/>
          <w:szCs w:val="20"/>
          <w:color w:val="auto"/>
        </w:rPr>
      </w:pPr>
      <w:r>
        <w:rPr>
          <w:rFonts w:ascii="Times New Roman" w:cs="Times New Roman" w:eastAsia="Times New Roman" w:hAnsi="Times New Roman"/>
          <w:sz w:val="13"/>
          <w:szCs w:val="13"/>
          <w:color w:val="auto"/>
        </w:rPr>
        <w:t>The offering price per share in this offering may exceed the net tangible book value (deficit) per share of Class A Common Stock outstanding prior to this offering. Assuming that an aggregate of 33,333,333 shares of Class A Common Stock are sold at an assumed price of $1.50 per share for aggregate net proceeds of approximately $48.2 million, after deducting commissions and estimated initial offering expenses payable by the Company, you would experience immediate dilution of $3.14 per share, representing the difference between Cibus’ as adjusted net tangible book deficit per share of Class A Common Stock as of March 31, 2026, after giving effect to this offering and the assumed public offering price. The dilution information provided in this prospectus supplement is as of March 31, 2026. For a further description of the dilution that you will experience immediately after this offering, see the section of this prospectus supplement titled “Dilution.”</w:t>
      </w:r>
    </w:p>
    <w:p>
      <w:pPr>
        <w:spacing w:after="0" w:line="211"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3"/>
          <w:szCs w:val="13"/>
          <w:b w:val="1"/>
          <w:bCs w:val="1"/>
          <w:i w:val="1"/>
          <w:iCs w:val="1"/>
          <w:color w:val="auto"/>
        </w:rPr>
        <w:t>Cibus’ ability to continue as a going concern will depend on its ability to obtain additional financing in the near term.</w:t>
      </w:r>
    </w:p>
    <w:p>
      <w:pPr>
        <w:spacing w:after="0" w:line="96"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3"/>
          <w:szCs w:val="13"/>
          <w:color w:val="auto"/>
        </w:rPr>
        <w:t>As of March 31, 2026, the Company had $30.3 million of cash and cash equivalents. Current liabilities were $13.9 million as of March 31, 2026.</w:t>
      </w:r>
    </w:p>
    <w:p>
      <w:pPr>
        <w:spacing w:after="0" w:line="173" w:lineRule="exact"/>
        <w:rPr>
          <w:sz w:val="20"/>
          <w:szCs w:val="20"/>
          <w:color w:val="auto"/>
        </w:rPr>
      </w:pPr>
    </w:p>
    <w:p>
      <w:pPr>
        <w:jc w:val="both"/>
        <w:ind w:left="1540" w:right="679" w:firstLine="329"/>
        <w:spacing w:after="0" w:line="271" w:lineRule="auto"/>
        <w:rPr>
          <w:sz w:val="20"/>
          <w:szCs w:val="20"/>
          <w:color w:val="auto"/>
        </w:rPr>
      </w:pPr>
      <w:r>
        <w:rPr>
          <w:rFonts w:ascii="Times New Roman" w:cs="Times New Roman" w:eastAsia="Times New Roman" w:hAnsi="Times New Roman"/>
          <w:sz w:val="13"/>
          <w:szCs w:val="13"/>
          <w:color w:val="auto"/>
        </w:rPr>
        <w:t>In the absence of significant additional financing, there will likely continue to be substantial doubt about Cibus’ ability to continue as a going concern. To finance Cibus’ continued operations under its current business plan over the next 12 months, Cibus will need to raise additional capital. Such financing may not be available within Cibus’ required timeframes, on acceptable terms, or at all. Furthermore, the Company’s ability to raise additional capital may be limited by applicable SEC rules and Nasdaq shareholder approval requirements.</w:t>
      </w:r>
    </w:p>
    <w:p>
      <w:pPr>
        <w:spacing w:after="0" w:line="131" w:lineRule="exact"/>
        <w:rPr>
          <w:sz w:val="20"/>
          <w:szCs w:val="20"/>
          <w:color w:val="auto"/>
        </w:rPr>
      </w:pPr>
    </w:p>
    <w:p>
      <w:pPr>
        <w:ind w:left="1540" w:right="459" w:firstLine="329"/>
        <w:spacing w:after="0" w:line="262" w:lineRule="auto"/>
        <w:rPr>
          <w:sz w:val="20"/>
          <w:szCs w:val="20"/>
          <w:color w:val="auto"/>
        </w:rPr>
      </w:pPr>
      <w:r>
        <w:rPr>
          <w:rFonts w:ascii="Times New Roman" w:cs="Times New Roman" w:eastAsia="Times New Roman" w:hAnsi="Times New Roman"/>
          <w:sz w:val="13"/>
          <w:szCs w:val="13"/>
          <w:color w:val="auto"/>
        </w:rPr>
        <w:t>In light of the foregoing needs and constraints on the Company’s capital resources, its Board of Directors will, together with its professional advisors, continue to evaluate a full range of strategic alternatives to maximize shareholder value, which may include potential equity or debt financing transactions, business combination transactions (including an acquisition or merger transaction), sales of assets, licensing, and other strategic transactions. Certain potential strategic transaction alternatives could (i) result in substantial additional dilution to existing stockholders, (ii) result in the issuance of securities with preferences over Cibus’ existing Common Stock, (iii) subject the Company to covenants that impose operational restrictions,</w:t>
      </w:r>
    </w:p>
    <w:p>
      <w:pPr>
        <w:spacing w:after="0" w:line="3" w:lineRule="exact"/>
        <w:rPr>
          <w:sz w:val="20"/>
          <w:szCs w:val="20"/>
          <w:color w:val="auto"/>
        </w:rPr>
      </w:pPr>
    </w:p>
    <w:p>
      <w:pPr>
        <w:ind w:left="1540" w:right="459" w:hanging="8"/>
        <w:spacing w:after="0" w:line="277" w:lineRule="auto"/>
        <w:tabs>
          <w:tab w:leader="none" w:pos="1768"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require it to relinquish potentially valuable rights to pipeline traits or proprietary technologies, (v) result in the granting of licenses on terms that are not favorable to the Company, or (vi) have a material adverse effect on the market price of the Class A Common Stock.</w:t>
      </w:r>
    </w:p>
    <w:p>
      <w:pPr>
        <w:spacing w:after="0" w:line="76"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3"/>
          <w:szCs w:val="13"/>
          <w:color w:val="auto"/>
        </w:rPr>
        <w:t>S-5</w:t>
      </w:r>
    </w:p>
    <w:p>
      <w:pPr>
        <w:sectPr>
          <w:pgSz w:w="11900" w:h="16838" w:orient="portrait"/>
          <w:cols w:equalWidth="0" w:num="1">
            <w:col w:w="10159"/>
          </w:cols>
          <w:pgMar w:left="300" w:top="375" w:right="1440"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1">
                      <a:extLst>
                        <a:ext uri="{28A0092B-C50C-407E-A947-70E740481C1C}"/>
                      </a:extLst>
                    </a:blip>
                    <a:srcRect/>
                    <a:stretch>
                      <a:fillRect/>
                    </a:stretch>
                  </pic:blipFill>
                  <pic:spPr bwMode="auto">
                    <a:xfrm>
                      <a:off x="0" y="0"/>
                      <a:ext cx="7205345" cy="31750"/>
                    </a:xfrm>
                    <a:prstGeom prst="rect">
                      <a:avLst/>
                    </a:prstGeom>
                    <a:noFill/>
                  </pic:spPr>
                </pic:pic>
              </a:graphicData>
            </a:graphic>
          </wp:anchor>
        </w:drawing>
        <w:t>Table of Contents</w:t>
      </w:r>
    </w:p>
    <w:p>
      <w:pPr>
        <w:spacing w:after="0" w:line="248" w:lineRule="exact"/>
        <w:rPr>
          <w:sz w:val="20"/>
          <w:szCs w:val="20"/>
          <w:color w:val="auto"/>
        </w:rPr>
      </w:pPr>
    </w:p>
    <w:p>
      <w:pPr>
        <w:ind w:left="1540" w:right="479" w:firstLine="329"/>
        <w:spacing w:after="0" w:line="268" w:lineRule="auto"/>
        <w:rPr>
          <w:sz w:val="20"/>
          <w:szCs w:val="20"/>
          <w:color w:val="auto"/>
        </w:rPr>
      </w:pPr>
      <w:r>
        <w:rPr>
          <w:rFonts w:ascii="Times New Roman" w:cs="Times New Roman" w:eastAsia="Times New Roman" w:hAnsi="Times New Roman"/>
          <w:sz w:val="13"/>
          <w:szCs w:val="13"/>
          <w:color w:val="auto"/>
        </w:rPr>
        <w:t>If Cibus fails to obtain substantial funding or consummate a strategic transaction in the next several months and is unable to continue as a going concern, it may be required to discontinue or delay one or more of its development programs or to wind-down its business through the initiation of bankruptcy proceedings. In the event of a wind-down, it is likely that holders of Cibus’ Common Stock will lose all or part of their investment. If Cibus seeks additional financing to fund its business activities in the future and there is substantial doubt about its ability to continue as a going concern, investors or other financing sources may be unwilling to provide additional funding to Cibus on commercially reasonable terms or at all.</w:t>
      </w:r>
    </w:p>
    <w:p>
      <w:pPr>
        <w:spacing w:after="0" w:line="20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3"/>
          <w:szCs w:val="13"/>
          <w:b w:val="1"/>
          <w:bCs w:val="1"/>
          <w:i w:val="1"/>
          <w:iCs w:val="1"/>
          <w:color w:val="auto"/>
        </w:rPr>
        <w:t>You may experience future equity dilution as a result of future securities offerings.</w:t>
      </w:r>
    </w:p>
    <w:p>
      <w:pPr>
        <w:spacing w:after="0" w:line="96" w:lineRule="exact"/>
        <w:rPr>
          <w:sz w:val="20"/>
          <w:szCs w:val="20"/>
          <w:color w:val="auto"/>
        </w:rPr>
      </w:pPr>
    </w:p>
    <w:p>
      <w:pPr>
        <w:ind w:left="1540" w:right="479" w:firstLine="329"/>
        <w:spacing w:after="0" w:line="278" w:lineRule="auto"/>
        <w:rPr>
          <w:sz w:val="20"/>
          <w:szCs w:val="20"/>
          <w:color w:val="auto"/>
        </w:rPr>
      </w:pPr>
      <w:r>
        <w:rPr>
          <w:rFonts w:ascii="Times New Roman" w:cs="Times New Roman" w:eastAsia="Times New Roman" w:hAnsi="Times New Roman"/>
          <w:sz w:val="13"/>
          <w:szCs w:val="13"/>
          <w:color w:val="auto"/>
        </w:rPr>
        <w:t>Cibus expects in the future to seek to raise additional equity financing, including through the offer of additional shares of Class A Common Stock or other securities convertible into or exchangeable for Class A Common Stock. Such additional equity offerings may occur in the near term. Sales of shares of Class A Common Stock would result in dilution to Cibus’ stockholders.</w:t>
      </w:r>
    </w:p>
    <w:p>
      <w:pPr>
        <w:spacing w:after="0" w:line="125" w:lineRule="exact"/>
        <w:rPr>
          <w:sz w:val="20"/>
          <w:szCs w:val="20"/>
          <w:color w:val="auto"/>
        </w:rPr>
      </w:pPr>
    </w:p>
    <w:p>
      <w:pPr>
        <w:ind w:left="1540" w:right="439" w:firstLine="329"/>
        <w:spacing w:after="0" w:line="271" w:lineRule="auto"/>
        <w:rPr>
          <w:sz w:val="20"/>
          <w:szCs w:val="20"/>
          <w:color w:val="auto"/>
        </w:rPr>
      </w:pPr>
      <w:r>
        <w:rPr>
          <w:rFonts w:ascii="Times New Roman" w:cs="Times New Roman" w:eastAsia="Times New Roman" w:hAnsi="Times New Roman"/>
          <w:sz w:val="13"/>
          <w:szCs w:val="13"/>
          <w:color w:val="auto"/>
        </w:rPr>
        <w:t>Cibus cannot assure you that it will be able to sell shares of Class A Common Stock or other securities in any other offering at a price per share that is equal to or greater than the price per share paid by investors in this offering, and investors purchasing shares or other securities in the future could have rights superior to existing stockholders. The price per share at which Cibus sells additional shares of Class A Common Stock or other securities convertible into or exchangeable for Class A Common Stock in future transactions may be higher or lower than the price per share in this offering.</w:t>
      </w:r>
    </w:p>
    <w:p>
      <w:pPr>
        <w:spacing w:after="0" w:line="131" w:lineRule="exact"/>
        <w:rPr>
          <w:sz w:val="20"/>
          <w:szCs w:val="20"/>
          <w:color w:val="auto"/>
        </w:rPr>
      </w:pPr>
    </w:p>
    <w:p>
      <w:pPr>
        <w:ind w:left="1540" w:right="479" w:firstLine="329"/>
        <w:spacing w:after="0" w:line="268" w:lineRule="auto"/>
        <w:rPr>
          <w:sz w:val="20"/>
          <w:szCs w:val="20"/>
          <w:color w:val="auto"/>
        </w:rPr>
      </w:pPr>
      <w:r>
        <w:rPr>
          <w:rFonts w:ascii="Times New Roman" w:cs="Times New Roman" w:eastAsia="Times New Roman" w:hAnsi="Times New Roman"/>
          <w:sz w:val="13"/>
          <w:szCs w:val="13"/>
          <w:color w:val="auto"/>
        </w:rPr>
        <w:t>Furthermore, if outstanding options or warrants are exercised, you could experience further equity dilution. As of March 31, 2026, approximately 6.0 million shares of Class A Common Stock were either subject to vesting restrictions, issuable upon exercise of outstanding options, issuable upon vesting and settlement of outstanding restricted stock units, issuable upon exercise of outstanding common warrants or reserved for future issuance under the Plan and are eligible for sale in the public market to the extent permitted by the provisions of various vesting schedules. Cibus also has 400,000 outstanding pre-funded warrants, which are included in the calculation of earnings per share for accounting purposes.</w:t>
      </w:r>
    </w:p>
    <w:p>
      <w:pPr>
        <w:spacing w:after="0" w:line="133" w:lineRule="exact"/>
        <w:rPr>
          <w:sz w:val="20"/>
          <w:szCs w:val="20"/>
          <w:color w:val="auto"/>
        </w:rPr>
      </w:pPr>
    </w:p>
    <w:p>
      <w:pPr>
        <w:jc w:val="both"/>
        <w:ind w:left="1540" w:right="419" w:firstLine="329"/>
        <w:spacing w:after="0" w:line="271" w:lineRule="auto"/>
        <w:rPr>
          <w:sz w:val="20"/>
          <w:szCs w:val="20"/>
          <w:color w:val="auto"/>
        </w:rPr>
      </w:pPr>
      <w:r>
        <w:rPr>
          <w:rFonts w:ascii="Times New Roman" w:cs="Times New Roman" w:eastAsia="Times New Roman" w:hAnsi="Times New Roman"/>
          <w:sz w:val="13"/>
          <w:szCs w:val="13"/>
          <w:color w:val="auto"/>
        </w:rPr>
        <w:t>If Cibus’ large stockholders sell a substantial number of shares of Class A Common Stock in either the private or public markets, the market price of the Class A Common Stock could decrease materially. The perception in the public market that these stockholders might sell Class A Common Stock could also depress the market price of the Class A Common Stock and could impair Cibus’ future ability to obtain capital, especially through an offering of equity securities.</w:t>
      </w:r>
    </w:p>
    <w:p>
      <w:pPr>
        <w:spacing w:after="0" w:line="131" w:lineRule="exact"/>
        <w:rPr>
          <w:sz w:val="20"/>
          <w:szCs w:val="20"/>
          <w:color w:val="auto"/>
        </w:rPr>
      </w:pPr>
    </w:p>
    <w:p>
      <w:pPr>
        <w:ind w:left="1540" w:right="779" w:firstLine="329"/>
        <w:spacing w:after="0" w:line="297" w:lineRule="auto"/>
        <w:rPr>
          <w:sz w:val="20"/>
          <w:szCs w:val="20"/>
          <w:color w:val="auto"/>
        </w:rPr>
      </w:pPr>
      <w:r>
        <w:rPr>
          <w:rFonts w:ascii="Times New Roman" w:cs="Times New Roman" w:eastAsia="Times New Roman" w:hAnsi="Times New Roman"/>
          <w:sz w:val="13"/>
          <w:szCs w:val="13"/>
          <w:color w:val="auto"/>
        </w:rPr>
        <w:t>Additionally, shares of Class A Common Stock issued or issuable under Cibus’ equity incentive plans to employees and directors have been registered on Form S-8 registration statements and may be freely sold in the public market upon issuance.</w:t>
      </w:r>
    </w:p>
    <w:p>
      <w:pPr>
        <w:spacing w:after="0" w:line="110"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3"/>
          <w:szCs w:val="13"/>
          <w:b w:val="1"/>
          <w:bCs w:val="1"/>
          <w:i w:val="1"/>
          <w:iCs w:val="1"/>
          <w:color w:val="auto"/>
        </w:rPr>
        <w:t>The actual number of shares of Class A Common Stock Cibus will issue under the Sales Agreement at any one time or in total is uncertain.</w:t>
      </w:r>
    </w:p>
    <w:p>
      <w:pPr>
        <w:spacing w:after="0" w:line="96" w:lineRule="exact"/>
        <w:rPr>
          <w:sz w:val="20"/>
          <w:szCs w:val="20"/>
          <w:color w:val="auto"/>
        </w:rPr>
      </w:pPr>
    </w:p>
    <w:p>
      <w:pPr>
        <w:ind w:left="1540" w:right="599" w:firstLine="329"/>
        <w:spacing w:after="0" w:line="271" w:lineRule="auto"/>
        <w:rPr>
          <w:sz w:val="20"/>
          <w:szCs w:val="20"/>
          <w:color w:val="auto"/>
        </w:rPr>
      </w:pPr>
      <w:r>
        <w:rPr>
          <w:rFonts w:ascii="Times New Roman" w:cs="Times New Roman" w:eastAsia="Times New Roman" w:hAnsi="Times New Roman"/>
          <w:sz w:val="13"/>
          <w:szCs w:val="13"/>
          <w:color w:val="auto"/>
        </w:rPr>
        <w:t>Cibus has not committed to sell any specific number of shares of Class A Common Stock under the Sales Agreement. The number of shares of Class A Common Stock that are sold in this offering will be determined by Cibus during the pendency of the Sales Agreement based on, among other things, market conditions and the market price of Class A Common Stock. Accordingly, it is not possible to predict the number of shares of Class A Common Stock that will ultimately be issued under the Sales Agreement, if any Class A Common Stock is issued thereunder.</w:t>
      </w:r>
    </w:p>
    <w:p>
      <w:pPr>
        <w:spacing w:after="0" w:line="81"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3"/>
          <w:szCs w:val="13"/>
          <w:color w:val="auto"/>
        </w:rPr>
        <w:t>S-6</w:t>
      </w:r>
    </w:p>
    <w:p>
      <w:pPr>
        <w:sectPr>
          <w:pgSz w:w="11900" w:h="16838" w:orient="portrait"/>
          <w:cols w:equalWidth="0" w:num="1">
            <w:col w:w="10159"/>
          </w:cols>
          <w:pgMar w:left="300" w:top="375" w:right="1440"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2">
                      <a:extLst>
                        <a:ext uri="{28A0092B-C50C-407E-A947-70E740481C1C}"/>
                      </a:extLst>
                    </a:blip>
                    <a:srcRect/>
                    <a:stretch>
                      <a:fillRect/>
                    </a:stretch>
                  </pic:blipFill>
                  <pic:spPr bwMode="auto">
                    <a:xfrm>
                      <a:off x="0" y="0"/>
                      <a:ext cx="7205345" cy="31750"/>
                    </a:xfrm>
                    <a:prstGeom prst="rect">
                      <a:avLst/>
                    </a:prstGeom>
                    <a:noFill/>
                  </pic:spPr>
                </pic:pic>
              </a:graphicData>
            </a:graphic>
          </wp:anchor>
        </w:drawing>
        <w:t>Table of Contents</w:t>
      </w:r>
    </w:p>
    <w:p>
      <w:pPr>
        <w:spacing w:after="0" w:line="244" w:lineRule="exact"/>
        <w:rPr>
          <w:sz w:val="20"/>
          <w:szCs w:val="20"/>
          <w:color w:val="auto"/>
        </w:rPr>
      </w:pPr>
    </w:p>
    <w:p>
      <w:pPr>
        <w:ind w:left="1540" w:right="519"/>
        <w:spacing w:after="0" w:line="304" w:lineRule="auto"/>
        <w:rPr>
          <w:sz w:val="20"/>
          <w:szCs w:val="20"/>
          <w:color w:val="auto"/>
        </w:rPr>
      </w:pPr>
      <w:r>
        <w:rPr>
          <w:rFonts w:ascii="Times New Roman" w:cs="Times New Roman" w:eastAsia="Times New Roman" w:hAnsi="Times New Roman"/>
          <w:sz w:val="13"/>
          <w:szCs w:val="13"/>
          <w:b w:val="1"/>
          <w:bCs w:val="1"/>
          <w:i w:val="1"/>
          <w:iCs w:val="1"/>
          <w:color w:val="auto"/>
        </w:rPr>
        <w:t>Cibus’ management will have broad discretion over the use of the proceeds the Company receives in this offering and might not apply the proceeds in ways that increase the value of your investment.</w:t>
      </w:r>
    </w:p>
    <w:p>
      <w:pPr>
        <w:spacing w:after="0" w:line="28" w:lineRule="exact"/>
        <w:rPr>
          <w:sz w:val="20"/>
          <w:szCs w:val="20"/>
          <w:color w:val="auto"/>
        </w:rPr>
      </w:pPr>
    </w:p>
    <w:p>
      <w:pPr>
        <w:ind w:left="1540" w:right="399" w:firstLine="329"/>
        <w:spacing w:after="0" w:line="263" w:lineRule="auto"/>
        <w:rPr>
          <w:sz w:val="20"/>
          <w:szCs w:val="20"/>
          <w:color w:val="auto"/>
        </w:rPr>
      </w:pPr>
      <w:r>
        <w:rPr>
          <w:rFonts w:ascii="Times New Roman" w:cs="Times New Roman" w:eastAsia="Times New Roman" w:hAnsi="Times New Roman"/>
          <w:sz w:val="13"/>
          <w:szCs w:val="13"/>
          <w:color w:val="auto"/>
        </w:rPr>
        <w:t>Cibus’ management will have broad discretion to use the net proceeds from this offering, and you will be relying on the judgment of Cibus’ management regarding the application of these proceeds. You will not have the opportunity to influence Cibus’ decisions on how to use the proceeds, and Cibus may not apply the net proceeds of this offering in ways that increase the value of your investment. Because of the number and variability of factors that will determine Cibus’ use of the net proceeds from this offering, their ultimate use may vary substantially from their currently intended use. The failure by Cibus’ management to apply these funds effectively could harm the Company’s business. Pending their use, Cibus intends to invest the net proceeds from this offering in marketable securities that may include investment-grade interest-bearing securities, money market accounts, certificates of deposit, commercial paper and guaranteed obligations of the U.S. government in accordance with the Company’s investment policy. These investments may not yield a favorable return to Cibus’ stockholders. If Cibus does not invest or apply the net proceeds from this offering in ways that enhance stockholder value, Cibus may fail to achieve expected financial results, which could cause its stock price to decline.</w:t>
      </w:r>
    </w:p>
    <w:p>
      <w:pPr>
        <w:spacing w:after="0" w:line="215" w:lineRule="exact"/>
        <w:rPr>
          <w:sz w:val="20"/>
          <w:szCs w:val="20"/>
          <w:color w:val="auto"/>
        </w:rPr>
      </w:pPr>
    </w:p>
    <w:p>
      <w:pPr>
        <w:ind w:left="1540" w:right="459"/>
        <w:spacing w:after="0" w:line="304" w:lineRule="auto"/>
        <w:rPr>
          <w:sz w:val="20"/>
          <w:szCs w:val="20"/>
          <w:color w:val="auto"/>
        </w:rPr>
      </w:pPr>
      <w:r>
        <w:rPr>
          <w:rFonts w:ascii="Times New Roman" w:cs="Times New Roman" w:eastAsia="Times New Roman" w:hAnsi="Times New Roman"/>
          <w:sz w:val="13"/>
          <w:szCs w:val="13"/>
          <w:b w:val="1"/>
          <w:bCs w:val="1"/>
          <w:i w:val="1"/>
          <w:iCs w:val="1"/>
          <w:color w:val="auto"/>
        </w:rPr>
        <w:t>Cibus has not paid dividends in the past and does not expect to pay dividends in the future, and, as a result, any return on investment may be limited to the value of the Class A Common Stock.</w:t>
      </w:r>
    </w:p>
    <w:p>
      <w:pPr>
        <w:spacing w:after="0" w:line="28" w:lineRule="exact"/>
        <w:rPr>
          <w:sz w:val="20"/>
          <w:szCs w:val="20"/>
          <w:color w:val="auto"/>
        </w:rPr>
      </w:pPr>
    </w:p>
    <w:p>
      <w:pPr>
        <w:ind w:left="1540" w:right="599" w:firstLine="329"/>
        <w:spacing w:after="0" w:line="271" w:lineRule="auto"/>
        <w:rPr>
          <w:sz w:val="20"/>
          <w:szCs w:val="20"/>
          <w:color w:val="auto"/>
        </w:rPr>
      </w:pPr>
      <w:r>
        <w:rPr>
          <w:rFonts w:ascii="Times New Roman" w:cs="Times New Roman" w:eastAsia="Times New Roman" w:hAnsi="Times New Roman"/>
          <w:sz w:val="13"/>
          <w:szCs w:val="13"/>
          <w:color w:val="auto"/>
        </w:rPr>
        <w:t>Cibus has never paid dividends and does not anticipate paying dividends in the foreseeable future. The payment of dividends will depend on Cibus’ earnings, capital requirements, financial condition, prospects and other factors Cibus’ board of directors may deem relevant. If Cibus does not pay dividends, the Class A Common Stock may be less valuable because a return on your investment will only occur if the price per share of Class A Common Stock appreciates and you sell the Class A Common Stock thereafter.</w:t>
      </w:r>
    </w:p>
    <w:p>
      <w:pPr>
        <w:spacing w:after="0" w:line="208" w:lineRule="exact"/>
        <w:rPr>
          <w:sz w:val="20"/>
          <w:szCs w:val="20"/>
          <w:color w:val="auto"/>
        </w:rPr>
      </w:pPr>
    </w:p>
    <w:p>
      <w:pPr>
        <w:ind w:left="1540" w:right="619"/>
        <w:spacing w:after="0" w:line="304" w:lineRule="auto"/>
        <w:rPr>
          <w:sz w:val="20"/>
          <w:szCs w:val="20"/>
          <w:color w:val="auto"/>
        </w:rPr>
      </w:pPr>
      <w:r>
        <w:rPr>
          <w:rFonts w:ascii="Times New Roman" w:cs="Times New Roman" w:eastAsia="Times New Roman" w:hAnsi="Times New Roman"/>
          <w:sz w:val="13"/>
          <w:szCs w:val="13"/>
          <w:b w:val="1"/>
          <w:bCs w:val="1"/>
          <w:i w:val="1"/>
          <w:iCs w:val="1"/>
          <w:color w:val="auto"/>
        </w:rPr>
        <w:t>The United States net operating loss carryforwards and certain other tax attributes of Cibus may be subject to limitations, including as a result of this offering.</w:t>
      </w:r>
    </w:p>
    <w:p>
      <w:pPr>
        <w:spacing w:after="0" w:line="28" w:lineRule="exact"/>
        <w:rPr>
          <w:sz w:val="20"/>
          <w:szCs w:val="20"/>
          <w:color w:val="auto"/>
        </w:rPr>
      </w:pPr>
    </w:p>
    <w:p>
      <w:pPr>
        <w:ind w:left="1540" w:right="499" w:firstLine="329"/>
        <w:spacing w:after="0" w:line="271" w:lineRule="auto"/>
        <w:rPr>
          <w:sz w:val="20"/>
          <w:szCs w:val="20"/>
          <w:color w:val="auto"/>
        </w:rPr>
      </w:pPr>
      <w:r>
        <w:rPr>
          <w:rFonts w:ascii="Times New Roman" w:cs="Times New Roman" w:eastAsia="Times New Roman" w:hAnsi="Times New Roman"/>
          <w:sz w:val="13"/>
          <w:szCs w:val="13"/>
          <w:color w:val="auto"/>
        </w:rPr>
        <w:t>As of December 31, 2025, Cibus had approximately $570.8 million of net operating loss carryforwards (NOLs) for federal and state income tax purposes, which may be available to offset federal and state income tax liabilities in the future. In addition, Cibus may generate additional NOLs in future years. Cibus established a full valuation allowance for its deferred tax assets, including NOLs, due to the uncertainty that enough taxable income will be generated to utilize the assets.</w:t>
      </w:r>
    </w:p>
    <w:p>
      <w:pPr>
        <w:spacing w:after="0" w:line="131" w:lineRule="exact"/>
        <w:rPr>
          <w:sz w:val="20"/>
          <w:szCs w:val="20"/>
          <w:color w:val="auto"/>
        </w:rPr>
      </w:pPr>
    </w:p>
    <w:p>
      <w:pPr>
        <w:ind w:left="1540" w:right="479" w:firstLine="329"/>
        <w:spacing w:after="0" w:line="263" w:lineRule="auto"/>
        <w:rPr>
          <w:sz w:val="20"/>
          <w:szCs w:val="20"/>
          <w:color w:val="auto"/>
        </w:rPr>
      </w:pPr>
      <w:r>
        <w:rPr>
          <w:rFonts w:ascii="Times New Roman" w:cs="Times New Roman" w:eastAsia="Times New Roman" w:hAnsi="Times New Roman"/>
          <w:sz w:val="13"/>
          <w:szCs w:val="13"/>
          <w:color w:val="auto"/>
        </w:rPr>
        <w:t>In general, a corporation’s ability to utilize its NOLs may be limited if it experiences an “ownership change” as defined in Section 382 of the Code. An ownership change generally occurs if certain direct or indirect five percent shareholders increase their aggregate percentage ownership of a corporation’s stock by more than 50 percentage points over their lowest percentage ownership at any time during the testing period, which is generally the three-year period preceding any potential ownership change. If a corporation experiences an ownership change, the corporation will be subject to an annual limitation that applies to the amount of pre-ownership change NOLs that may be used to offset post-ownership change taxable income. This limitation is generally determined by multiplying the value of the corporation’s stock immediately before the ownership change by the applicable long-term tax-exempt rate. Any unused annual limitation may, subject to certain limits, be carried over to later years, and the limitation may under certain circumstances be increased by built-in gains in the assets held by such corporation at the time of the ownership change. Similar rules and limitations may apply for state income tax purposes.</w:t>
      </w:r>
    </w:p>
    <w:p>
      <w:pPr>
        <w:spacing w:after="0" w:line="138" w:lineRule="exact"/>
        <w:rPr>
          <w:sz w:val="20"/>
          <w:szCs w:val="20"/>
          <w:color w:val="auto"/>
        </w:rPr>
      </w:pPr>
    </w:p>
    <w:p>
      <w:pPr>
        <w:ind w:left="1540" w:right="599" w:firstLine="329"/>
        <w:spacing w:after="0" w:line="278" w:lineRule="auto"/>
        <w:rPr>
          <w:sz w:val="20"/>
          <w:szCs w:val="20"/>
          <w:color w:val="auto"/>
        </w:rPr>
      </w:pPr>
      <w:r>
        <w:rPr>
          <w:rFonts w:ascii="Times New Roman" w:cs="Times New Roman" w:eastAsia="Times New Roman" w:hAnsi="Times New Roman"/>
          <w:sz w:val="13"/>
          <w:szCs w:val="13"/>
          <w:color w:val="auto"/>
        </w:rPr>
        <w:t>The Company completed a Section 382 analysis through December 31, 2023, and it was determined that the Company experienced an IRC 382 cumulative shift as of May 31, 2023, as a result of its merger with Cibus Global. The Company completed an additional analysis through each of December 31, 2025 and 2024, to determine if any additional cumulative shifts have occurred and concluded no Section 382 ownership change was</w:t>
      </w:r>
    </w:p>
    <w:p>
      <w:pPr>
        <w:spacing w:after="0" w:line="75"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3"/>
          <w:szCs w:val="13"/>
          <w:color w:val="auto"/>
        </w:rPr>
        <w:t>S-7</w:t>
      </w:r>
    </w:p>
    <w:p>
      <w:pPr>
        <w:sectPr>
          <w:pgSz w:w="11900" w:h="16838" w:orient="portrait"/>
          <w:cols w:equalWidth="0" w:num="1">
            <w:col w:w="10159"/>
          </w:cols>
          <w:pgMar w:left="300" w:top="375" w:right="1440"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3">
                      <a:extLst>
                        <a:ext uri="{28A0092B-C50C-407E-A947-70E740481C1C}"/>
                      </a:extLst>
                    </a:blip>
                    <a:srcRect/>
                    <a:stretch>
                      <a:fillRect/>
                    </a:stretch>
                  </pic:blipFill>
                  <pic:spPr bwMode="auto">
                    <a:xfrm>
                      <a:off x="0" y="0"/>
                      <a:ext cx="7205345" cy="31750"/>
                    </a:xfrm>
                    <a:prstGeom prst="rect">
                      <a:avLst/>
                    </a:prstGeom>
                    <a:noFill/>
                  </pic:spPr>
                </pic:pic>
              </a:graphicData>
            </a:graphic>
          </wp:anchor>
        </w:drawing>
        <w:t>Table of Contents</w:t>
      </w:r>
    </w:p>
    <w:p>
      <w:pPr>
        <w:spacing w:after="0" w:line="248" w:lineRule="exact"/>
        <w:rPr>
          <w:sz w:val="20"/>
          <w:szCs w:val="20"/>
          <w:color w:val="auto"/>
        </w:rPr>
      </w:pPr>
    </w:p>
    <w:p>
      <w:pPr>
        <w:ind w:left="1540" w:right="439"/>
        <w:spacing w:after="0" w:line="264" w:lineRule="auto"/>
        <w:rPr>
          <w:sz w:val="20"/>
          <w:szCs w:val="20"/>
          <w:color w:val="auto"/>
        </w:rPr>
      </w:pPr>
      <w:r>
        <w:rPr>
          <w:rFonts w:ascii="Times New Roman" w:cs="Times New Roman" w:eastAsia="Times New Roman" w:hAnsi="Times New Roman"/>
          <w:sz w:val="13"/>
          <w:szCs w:val="13"/>
          <w:color w:val="auto"/>
        </w:rPr>
        <w:t>identified in 2025 or 2024. For financial statement purposes, the Company has included the federal and state NOLs and R&amp;D credit in the schedule of deferred tax assets offset with a full valuation allowance. If eliminated, the related asset would be removed from the deferred tax asset schedule with a corresponding reduction in the valuation allowance. Due to the existence of the valuation allowance, limitations created by historical ownership changes will not impact the Company’s effective tax rate in the future. There is no assurance that Cibus will not experience additional ownership changes under Section 382 that would further limit or possibly eliminate its ability to use its NOLs. Cibus may experience ownership changes as a result of shifts in the direct or indirect ownership of its stock (including as a result of securities sold in this offering and/or in prior offerings), some of which may be outside of its control. There is also a risk that future legal or regulatory changes may limit Cibus’ ability to use current or future NOLs to offset its future federal income tax liabilities.</w:t>
      </w:r>
    </w:p>
    <w:p>
      <w:pPr>
        <w:spacing w:after="0" w:line="212" w:lineRule="exact"/>
        <w:rPr>
          <w:sz w:val="20"/>
          <w:szCs w:val="20"/>
          <w:color w:val="auto"/>
        </w:rPr>
      </w:pPr>
    </w:p>
    <w:p>
      <w:pPr>
        <w:ind w:left="1540" w:right="659"/>
        <w:spacing w:after="0" w:line="304" w:lineRule="auto"/>
        <w:rPr>
          <w:sz w:val="20"/>
          <w:szCs w:val="20"/>
          <w:color w:val="auto"/>
        </w:rPr>
      </w:pPr>
      <w:r>
        <w:rPr>
          <w:rFonts w:ascii="Times New Roman" w:cs="Times New Roman" w:eastAsia="Times New Roman" w:hAnsi="Times New Roman"/>
          <w:sz w:val="13"/>
          <w:szCs w:val="13"/>
          <w:b w:val="1"/>
          <w:bCs w:val="1"/>
          <w:i w:val="1"/>
          <w:iCs w:val="1"/>
          <w:color w:val="auto"/>
        </w:rPr>
        <w:t>The market price of the Class A Common Stock has been and could remain volatile, which could adversely affect the market price of the Class A Common Stock.</w:t>
      </w:r>
    </w:p>
    <w:p>
      <w:pPr>
        <w:spacing w:after="0" w:line="28" w:lineRule="exact"/>
        <w:rPr>
          <w:sz w:val="20"/>
          <w:szCs w:val="20"/>
          <w:color w:val="auto"/>
        </w:rPr>
      </w:pPr>
    </w:p>
    <w:p>
      <w:pPr>
        <w:ind w:left="1540" w:right="399" w:firstLine="329"/>
        <w:spacing w:after="0" w:line="266" w:lineRule="auto"/>
        <w:rPr>
          <w:sz w:val="20"/>
          <w:szCs w:val="20"/>
          <w:color w:val="auto"/>
        </w:rPr>
      </w:pPr>
      <w:r>
        <w:rPr>
          <w:rFonts w:ascii="Times New Roman" w:cs="Times New Roman" w:eastAsia="Times New Roman" w:hAnsi="Times New Roman"/>
          <w:sz w:val="13"/>
          <w:szCs w:val="13"/>
          <w:color w:val="auto"/>
        </w:rPr>
        <w:t>The market price of the Class A Common Stock has experienced, and may continue to experience, volatility in response to various factors. Between the closing date of Cibus’ merger with Cibus Global on May 31, 2023 and May 14, 2026, the closing price of the Class A Common Stock on Nasdaq fluctuated from a high of $31.50 per share to a low of $1.16 per share. Some factors that may cause the market price of the Class A Common Stock to fluctuate include Cibus’ perceived prospects or the perceptions of the market of the Company’s pipeline, new products or technologies, changes in securities analysts’ recommendations or earnings estimates and Cibus’ ability to meet such estimates, changes in general conditions in the economy or the financial markets, capital raising activity and other developments affecting Cibus or its competitors.</w:t>
      </w:r>
    </w:p>
    <w:p>
      <w:pPr>
        <w:spacing w:after="0" w:line="135" w:lineRule="exact"/>
        <w:rPr>
          <w:sz w:val="20"/>
          <w:szCs w:val="20"/>
          <w:color w:val="auto"/>
        </w:rPr>
      </w:pPr>
    </w:p>
    <w:p>
      <w:pPr>
        <w:ind w:left="1540" w:right="439" w:firstLine="329"/>
        <w:spacing w:after="0" w:line="278" w:lineRule="auto"/>
        <w:rPr>
          <w:sz w:val="20"/>
          <w:szCs w:val="20"/>
          <w:color w:val="auto"/>
        </w:rPr>
      </w:pPr>
      <w:r>
        <w:rPr>
          <w:rFonts w:ascii="Times New Roman" w:cs="Times New Roman" w:eastAsia="Times New Roman" w:hAnsi="Times New Roman"/>
          <w:sz w:val="13"/>
          <w:szCs w:val="13"/>
          <w:color w:val="auto"/>
        </w:rPr>
        <w:t>These and other market and industry factors may cause the market price and demand for the Class A Common Stock to fluctuate substantially, regardless of Cibus’ actual operating performance, which may limit or prevent investors from readily selling their Class A Common Stock at a favorable price or at all and may otherwise negatively affect the liquidity of the Class A Common Stock.</w:t>
      </w:r>
    </w:p>
    <w:p>
      <w:pPr>
        <w:spacing w:after="0" w:line="202" w:lineRule="exact"/>
        <w:rPr>
          <w:sz w:val="20"/>
          <w:szCs w:val="20"/>
          <w:color w:val="auto"/>
        </w:rPr>
      </w:pPr>
    </w:p>
    <w:p>
      <w:pPr>
        <w:ind w:left="1540" w:right="859"/>
        <w:spacing w:after="0" w:line="304" w:lineRule="auto"/>
        <w:rPr>
          <w:sz w:val="20"/>
          <w:szCs w:val="20"/>
          <w:color w:val="auto"/>
        </w:rPr>
      </w:pPr>
      <w:r>
        <w:rPr>
          <w:rFonts w:ascii="Times New Roman" w:cs="Times New Roman" w:eastAsia="Times New Roman" w:hAnsi="Times New Roman"/>
          <w:sz w:val="13"/>
          <w:szCs w:val="13"/>
          <w:b w:val="1"/>
          <w:bCs w:val="1"/>
          <w:i w:val="1"/>
          <w:iCs w:val="1"/>
          <w:color w:val="auto"/>
        </w:rPr>
        <w:t>The Class A Common Stock offered hereby will be sold at other than fixed prices, and investors who buy shares of Class A Common Stock at different times will likely pay different prices.</w:t>
      </w:r>
    </w:p>
    <w:p>
      <w:pPr>
        <w:spacing w:after="0" w:line="28" w:lineRule="exact"/>
        <w:rPr>
          <w:sz w:val="20"/>
          <w:szCs w:val="20"/>
          <w:color w:val="auto"/>
        </w:rPr>
      </w:pPr>
    </w:p>
    <w:p>
      <w:pPr>
        <w:ind w:left="1540" w:right="419" w:firstLine="329"/>
        <w:spacing w:after="0" w:line="268" w:lineRule="auto"/>
        <w:rPr>
          <w:sz w:val="20"/>
          <w:szCs w:val="20"/>
          <w:color w:val="auto"/>
        </w:rPr>
      </w:pPr>
      <w:r>
        <w:rPr>
          <w:rFonts w:ascii="Times New Roman" w:cs="Times New Roman" w:eastAsia="Times New Roman" w:hAnsi="Times New Roman"/>
          <w:sz w:val="13"/>
          <w:szCs w:val="13"/>
          <w:color w:val="auto"/>
        </w:rPr>
        <w:t>Because the sales of Class A Common Stock offered hereby will be made at other than fixed prices from time to time, the prices at which Cibus sells these shares of Class A Common Stock will vary and these variations may be significant. Investors who participate in this offering at different times will likely pay different prices. Cibus will have discretion, subject to market demand, to vary the timing, prices, and numbers of shares sold, and there is no minimum or maximum sale price. Investors may experience a decline in the value of their investment as a result of sales made at prices lower than the prices they paid.</w:t>
      </w:r>
    </w:p>
    <w:p>
      <w:pPr>
        <w:spacing w:after="0" w:line="209" w:lineRule="exact"/>
        <w:rPr>
          <w:sz w:val="20"/>
          <w:szCs w:val="20"/>
          <w:color w:val="auto"/>
        </w:rPr>
      </w:pPr>
    </w:p>
    <w:p>
      <w:pPr>
        <w:ind w:left="1540" w:right="479"/>
        <w:spacing w:after="0" w:line="304" w:lineRule="auto"/>
        <w:rPr>
          <w:sz w:val="20"/>
          <w:szCs w:val="20"/>
          <w:color w:val="auto"/>
        </w:rPr>
      </w:pPr>
      <w:r>
        <w:rPr>
          <w:rFonts w:ascii="Times New Roman" w:cs="Times New Roman" w:eastAsia="Times New Roman" w:hAnsi="Times New Roman"/>
          <w:sz w:val="13"/>
          <w:szCs w:val="13"/>
          <w:b w:val="1"/>
          <w:bCs w:val="1"/>
          <w:i w:val="1"/>
          <w:iCs w:val="1"/>
          <w:color w:val="auto"/>
        </w:rPr>
        <w:t>If securities or industry analysts do not publish research or reports about Cibus’ business, or if they issue adverse or misleading opinions regarding the Company’s Class A Common Stock, the price of the Class A Common Stock and trading volume could decline.</w:t>
      </w:r>
    </w:p>
    <w:p>
      <w:pPr>
        <w:spacing w:after="0" w:line="28" w:lineRule="exact"/>
        <w:rPr>
          <w:sz w:val="20"/>
          <w:szCs w:val="20"/>
          <w:color w:val="auto"/>
        </w:rPr>
      </w:pPr>
    </w:p>
    <w:p>
      <w:pPr>
        <w:ind w:left="1540" w:right="459" w:firstLine="329"/>
        <w:spacing w:after="0" w:line="266" w:lineRule="auto"/>
        <w:rPr>
          <w:sz w:val="20"/>
          <w:szCs w:val="20"/>
          <w:color w:val="auto"/>
        </w:rPr>
      </w:pPr>
      <w:r>
        <w:rPr>
          <w:rFonts w:ascii="Times New Roman" w:cs="Times New Roman" w:eastAsia="Times New Roman" w:hAnsi="Times New Roman"/>
          <w:sz w:val="13"/>
          <w:szCs w:val="13"/>
          <w:color w:val="auto"/>
        </w:rPr>
        <w:t>The trading market for the Class A Common Stock will be influenced by the research and reports that industry or securities analysts publish about Cibus or its business. If any of the analysts who cover Cibus issue an adverse or misleading opinion regarding the Company, its business model, its intellectual property or the performance of the Class A Common Stock, or if Cibus’ operating results fail to meet the expectations of analysts, including such analysts’ expectations regarding revenue timing or amounts, the price of the Class A Common Stock would likely decline. If one or more of these analysts cease coverage of Cibus or fail to publish reports on Cibus regularly, Cibus could lose visibility in the financial markets, which in turn could cause the price of the Class A Common Stock or trading volume to decline.</w:t>
      </w:r>
    </w:p>
    <w:p>
      <w:pPr>
        <w:spacing w:after="0" w:line="84"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3"/>
          <w:szCs w:val="13"/>
          <w:color w:val="auto"/>
        </w:rPr>
        <w:t>S-8</w:t>
      </w:r>
    </w:p>
    <w:p>
      <w:pPr>
        <w:sectPr>
          <w:pgSz w:w="11900" w:h="16838" w:orient="portrait"/>
          <w:cols w:equalWidth="0" w:num="1">
            <w:col w:w="10159"/>
          </w:cols>
          <w:pgMar w:left="300" w:top="375" w:right="1440"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4">
                      <a:extLst>
                        <a:ext uri="{28A0092B-C50C-407E-A947-70E740481C1C}"/>
                      </a:extLst>
                    </a:blip>
                    <a:srcRect/>
                    <a:stretch>
                      <a:fillRect/>
                    </a:stretch>
                  </pic:blipFill>
                  <pic:spPr bwMode="auto">
                    <a:xfrm>
                      <a:off x="0" y="0"/>
                      <a:ext cx="7205345" cy="31750"/>
                    </a:xfrm>
                    <a:prstGeom prst="rect">
                      <a:avLst/>
                    </a:prstGeom>
                    <a:noFill/>
                  </pic:spPr>
                </pic:pic>
              </a:graphicData>
            </a:graphic>
          </wp:anchor>
        </w:drawing>
        <w:t>Table of Contents</w:t>
      </w:r>
    </w:p>
    <w:p>
      <w:pPr>
        <w:spacing w:after="0" w:line="24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CAUTIONARY NOTE REGARDING FORWARD-LOOKING STATEMENTS</w:t>
      </w:r>
    </w:p>
    <w:p>
      <w:pPr>
        <w:spacing w:after="0" w:line="177" w:lineRule="exact"/>
        <w:rPr>
          <w:sz w:val="20"/>
          <w:szCs w:val="20"/>
          <w:color w:val="auto"/>
        </w:rPr>
      </w:pPr>
    </w:p>
    <w:p>
      <w:pPr>
        <w:ind w:left="1540" w:right="719" w:firstLine="329"/>
        <w:spacing w:after="0" w:line="271" w:lineRule="auto"/>
        <w:rPr>
          <w:sz w:val="20"/>
          <w:szCs w:val="20"/>
          <w:color w:val="auto"/>
        </w:rPr>
      </w:pPr>
      <w:r>
        <w:rPr>
          <w:rFonts w:ascii="Times New Roman" w:cs="Times New Roman" w:eastAsia="Times New Roman" w:hAnsi="Times New Roman"/>
          <w:sz w:val="13"/>
          <w:szCs w:val="13"/>
          <w:color w:val="auto"/>
        </w:rPr>
        <w:t>The information in this prospectus supplement contains or incorporates by reference “forward-looking statements” within the meaning of the federal securities laws, including Section 27A of the Securities Act of 1933, as amended (the “Securities Act”), and the rules and regulations promulgated thereunder and Section 21E of the Securities Exchange Act of 1934, as amended (the “Exchange Act”), and the rules and regulations promulgated thereunder.</w:t>
      </w:r>
    </w:p>
    <w:p>
      <w:pPr>
        <w:spacing w:after="0" w:line="131" w:lineRule="exact"/>
        <w:rPr>
          <w:sz w:val="20"/>
          <w:szCs w:val="20"/>
          <w:color w:val="auto"/>
        </w:rPr>
      </w:pPr>
    </w:p>
    <w:p>
      <w:pPr>
        <w:ind w:left="1540" w:right="419" w:firstLine="329"/>
        <w:spacing w:after="0" w:line="261" w:lineRule="auto"/>
        <w:rPr>
          <w:sz w:val="20"/>
          <w:szCs w:val="20"/>
          <w:color w:val="auto"/>
        </w:rPr>
      </w:pPr>
      <w:r>
        <w:rPr>
          <w:rFonts w:ascii="Times New Roman" w:cs="Times New Roman" w:eastAsia="Times New Roman" w:hAnsi="Times New Roman"/>
          <w:sz w:val="13"/>
          <w:szCs w:val="13"/>
          <w:color w:val="auto"/>
        </w:rPr>
        <w:t>The Company has made these forward-looking statements in reliance on the safe harbor provisions of the United States Private Securities Litigation Reform Act of 1995. Although the Company believes the expectations reflected in the forward-looking statements are reasonable, it cannot guarantee future results, level of activity, performance or achievements. In some cases, you can identify these statements by forward-looking words such as “anticipates,” “believes,” “continue,” “could,” “estimates,” “expects,” “intends,” “may,” “might,” “plans,” “predicts,” “projects,” “scheduled,” “should,” “targets,” “will,” “would,” or the negative of these terms and other similar terminology. Any statements contained herein that are not statements of historical fact may be deemed to be forward-looking statements. Forward-looking statements in this prospectus supplement include statements about the Company’s future financial performance, including its liquidity and capital resources, cost saving initiatives and their impact on annual cash burn rates, cash runway, and its ability to continue as a going concern; the advancement, timing and progress of the Company’s platform development and trait development in crop platforms; the ability to obtain partner funding to support its non-Rice productivity trait portfolio; the anticipated timing for the presentation of data related to trait development and other operational activities; the timeframes for transferring traits in customers’ elite germplasm; the timeframe for commercialization of germplasm with the Company’s traits by seed company customers; the timing for, and degree of, adoption by farmers of germplasm with the Company’s traits following commercialization; the capacity of the Company’s productivity traits to deliver competitive yield improvements; the ability of gene editing to address climate change at scale; the timing and nature of regulatory developments relating to gene editing; the market opportunity for the Company’s plant traits, including the number of addressable acres, and the trait fees that the Company expects to receive; and the Company’s ability to enter into and maintain significant collaborations and commercial relationships. These and other forward-looking statements are predictions and projections about future events and trends based on the Company’s current expectations, objectives, and intentions and are premised on current assumptions.</w:t>
      </w:r>
    </w:p>
    <w:p>
      <w:pPr>
        <w:spacing w:after="0" w:line="301" w:lineRule="exact"/>
        <w:rPr>
          <w:sz w:val="20"/>
          <w:szCs w:val="20"/>
          <w:color w:val="auto"/>
        </w:rPr>
      </w:pPr>
    </w:p>
    <w:p>
      <w:pPr>
        <w:ind w:left="1540" w:right="759" w:firstLine="329"/>
        <w:spacing w:after="0" w:line="297" w:lineRule="auto"/>
        <w:rPr>
          <w:sz w:val="20"/>
          <w:szCs w:val="20"/>
          <w:color w:val="auto"/>
        </w:rPr>
      </w:pPr>
      <w:r>
        <w:rPr>
          <w:rFonts w:ascii="Times New Roman" w:cs="Times New Roman" w:eastAsia="Times New Roman" w:hAnsi="Times New Roman"/>
          <w:sz w:val="13"/>
          <w:szCs w:val="13"/>
          <w:color w:val="auto"/>
        </w:rPr>
        <w:t>The Company’s actual results, level of activity, performance or achievements could be materially different from those expressed, implied, or anticipated by forward-looking statements due to a variety of factors, including, but not limited to:</w:t>
      </w:r>
    </w:p>
    <w:p>
      <w:pPr>
        <w:spacing w:after="0" w:line="43" w:lineRule="exact"/>
        <w:rPr>
          <w:sz w:val="20"/>
          <w:szCs w:val="20"/>
          <w:color w:val="auto"/>
        </w:rPr>
      </w:pPr>
    </w:p>
    <w:p>
      <w:pPr>
        <w:ind w:left="2260" w:right="559" w:hanging="325"/>
        <w:spacing w:after="0" w:line="297" w:lineRule="auto"/>
        <w:tabs>
          <w:tab w:leader="none" w:pos="2260"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Company’s need for additional near term funding to finance its activities and challenges in obtaining additional capital on acceptable terms, or at all;</w:t>
      </w:r>
    </w:p>
    <w:p>
      <w:pPr>
        <w:spacing w:after="0" w:line="43" w:lineRule="exact"/>
        <w:rPr>
          <w:rFonts w:ascii="Times New Roman" w:cs="Times New Roman" w:eastAsia="Times New Roman" w:hAnsi="Times New Roman"/>
          <w:sz w:val="13"/>
          <w:szCs w:val="13"/>
          <w:color w:val="auto"/>
        </w:rPr>
      </w:pPr>
    </w:p>
    <w:p>
      <w:pPr>
        <w:ind w:left="2260" w:hanging="325"/>
        <w:spacing w:after="0"/>
        <w:tabs>
          <w:tab w:leader="none" w:pos="2260"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changes in expected or existing competition;</w:t>
      </w:r>
    </w:p>
    <w:p>
      <w:pPr>
        <w:spacing w:after="0" w:line="102" w:lineRule="exact"/>
        <w:rPr>
          <w:rFonts w:ascii="Times New Roman" w:cs="Times New Roman" w:eastAsia="Times New Roman" w:hAnsi="Times New Roman"/>
          <w:sz w:val="13"/>
          <w:szCs w:val="13"/>
          <w:color w:val="auto"/>
        </w:rPr>
      </w:pPr>
    </w:p>
    <w:p>
      <w:pPr>
        <w:ind w:left="2260" w:hanging="325"/>
        <w:spacing w:after="0"/>
        <w:tabs>
          <w:tab w:leader="none" w:pos="2260"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challenges to the Company’s intellectual property protection and unexpected costs associated with defending intellectual property rights;</w:t>
      </w:r>
    </w:p>
    <w:p>
      <w:pPr>
        <w:spacing w:after="0" w:line="102" w:lineRule="exact"/>
        <w:rPr>
          <w:rFonts w:ascii="Times New Roman" w:cs="Times New Roman" w:eastAsia="Times New Roman" w:hAnsi="Times New Roman"/>
          <w:sz w:val="13"/>
          <w:szCs w:val="13"/>
          <w:color w:val="auto"/>
        </w:rPr>
      </w:pPr>
    </w:p>
    <w:p>
      <w:pPr>
        <w:ind w:left="2260" w:right="659" w:hanging="325"/>
        <w:spacing w:after="0" w:line="297" w:lineRule="auto"/>
        <w:tabs>
          <w:tab w:leader="none" w:pos="2260"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increased or unanticipated time and resources required for the Company’s development efforts for its priority opportunities in Rice and biofragrance products and sustainable ingredients;</w:t>
      </w:r>
    </w:p>
    <w:p>
      <w:pPr>
        <w:spacing w:after="0" w:line="43" w:lineRule="exact"/>
        <w:rPr>
          <w:rFonts w:ascii="Times New Roman" w:cs="Times New Roman" w:eastAsia="Times New Roman" w:hAnsi="Times New Roman"/>
          <w:sz w:val="13"/>
          <w:szCs w:val="13"/>
          <w:color w:val="auto"/>
        </w:rPr>
      </w:pPr>
    </w:p>
    <w:p>
      <w:pPr>
        <w:ind w:left="2260" w:hanging="325"/>
        <w:spacing w:after="0"/>
        <w:tabs>
          <w:tab w:leader="none" w:pos="2260"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Company’s reliance on third parties in connection with its development activities and for commercialization;</w:t>
      </w:r>
    </w:p>
    <w:p>
      <w:pPr>
        <w:spacing w:after="0" w:line="102" w:lineRule="exact"/>
        <w:rPr>
          <w:rFonts w:ascii="Times New Roman" w:cs="Times New Roman" w:eastAsia="Times New Roman" w:hAnsi="Times New Roman"/>
          <w:sz w:val="13"/>
          <w:szCs w:val="13"/>
          <w:color w:val="auto"/>
        </w:rPr>
      </w:pPr>
    </w:p>
    <w:p>
      <w:pPr>
        <w:ind w:left="2260" w:hanging="325"/>
        <w:spacing w:after="0"/>
        <w:tabs>
          <w:tab w:leader="none" w:pos="2260"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challenges associated with the Company’s ability to effectively license its productivity traits and sustainable ingredient products;</w:t>
      </w:r>
    </w:p>
    <w:p>
      <w:pPr>
        <w:spacing w:after="0" w:line="102" w:lineRule="exact"/>
        <w:rPr>
          <w:rFonts w:ascii="Times New Roman" w:cs="Times New Roman" w:eastAsia="Times New Roman" w:hAnsi="Times New Roman"/>
          <w:sz w:val="13"/>
          <w:szCs w:val="13"/>
          <w:color w:val="auto"/>
        </w:rPr>
      </w:pPr>
    </w:p>
    <w:p>
      <w:pPr>
        <w:ind w:left="2260" w:right="539" w:hanging="325"/>
        <w:spacing w:after="0" w:line="297" w:lineRule="auto"/>
        <w:tabs>
          <w:tab w:leader="none" w:pos="2260"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risk that farmers do not recognize the value in germplasm containing the Company’s traits or that farmers and processors fail to work effectively with crops containing the Company’s traits;</w:t>
      </w:r>
    </w:p>
    <w:p>
      <w:pPr>
        <w:spacing w:after="0" w:line="43" w:lineRule="exact"/>
        <w:rPr>
          <w:rFonts w:ascii="Times New Roman" w:cs="Times New Roman" w:eastAsia="Times New Roman" w:hAnsi="Times New Roman"/>
          <w:sz w:val="13"/>
          <w:szCs w:val="13"/>
          <w:color w:val="auto"/>
        </w:rPr>
      </w:pPr>
    </w:p>
    <w:p>
      <w:pPr>
        <w:ind w:left="2260" w:hanging="325"/>
        <w:spacing w:after="0"/>
        <w:tabs>
          <w:tab w:leader="none" w:pos="2260"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delays or disruptions in the Company’s platform or trait product development efforts;</w:t>
      </w:r>
    </w:p>
    <w:p>
      <w:pPr>
        <w:spacing w:after="0" w:line="123"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3"/>
          <w:szCs w:val="13"/>
          <w:color w:val="auto"/>
        </w:rPr>
        <w:t>S-9</w:t>
      </w:r>
    </w:p>
    <w:p>
      <w:pPr>
        <w:sectPr>
          <w:pgSz w:w="11900" w:h="16838" w:orient="portrait"/>
          <w:cols w:equalWidth="0" w:num="1">
            <w:col w:w="10159"/>
          </w:cols>
          <w:pgMar w:left="300" w:top="375" w:right="1440"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5">
                      <a:extLst>
                        <a:ext uri="{28A0092B-C50C-407E-A947-70E740481C1C}"/>
                      </a:extLst>
                    </a:blip>
                    <a:srcRect/>
                    <a:stretch>
                      <a:fillRect/>
                    </a:stretch>
                  </pic:blipFill>
                  <pic:spPr bwMode="auto">
                    <a:xfrm>
                      <a:off x="0" y="0"/>
                      <a:ext cx="7205345" cy="31750"/>
                    </a:xfrm>
                    <a:prstGeom prst="rect">
                      <a:avLst/>
                    </a:prstGeom>
                    <a:noFill/>
                  </pic:spPr>
                </pic:pic>
              </a:graphicData>
            </a:graphic>
          </wp:anchor>
        </w:drawing>
        <w:t>Table of Contents</w:t>
      </w:r>
    </w:p>
    <w:p>
      <w:pPr>
        <w:spacing w:after="0" w:line="248" w:lineRule="exact"/>
        <w:rPr>
          <w:sz w:val="20"/>
          <w:szCs w:val="20"/>
          <w:color w:val="auto"/>
        </w:rPr>
      </w:pPr>
    </w:p>
    <w:p>
      <w:pPr>
        <w:ind w:left="2260" w:hanging="325"/>
        <w:spacing w:after="0"/>
        <w:tabs>
          <w:tab w:leader="none" w:pos="2260"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inability to identify partners to fund the Company’s non-Rice productivity trait portfolio;</w:t>
      </w:r>
    </w:p>
    <w:p>
      <w:pPr>
        <w:spacing w:after="0" w:line="102" w:lineRule="exact"/>
        <w:rPr>
          <w:rFonts w:ascii="Times New Roman" w:cs="Times New Roman" w:eastAsia="Times New Roman" w:hAnsi="Times New Roman"/>
          <w:sz w:val="13"/>
          <w:szCs w:val="13"/>
          <w:color w:val="auto"/>
        </w:rPr>
      </w:pPr>
    </w:p>
    <w:p>
      <w:pPr>
        <w:ind w:left="2260" w:hanging="325"/>
        <w:spacing w:after="0"/>
        <w:tabs>
          <w:tab w:leader="none" w:pos="2260"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challenges that arise in respect of the Company’s production of high-quality plants and seeds cost effectively on a large scale;</w:t>
      </w:r>
    </w:p>
    <w:p>
      <w:pPr>
        <w:spacing w:after="0" w:line="102" w:lineRule="exact"/>
        <w:rPr>
          <w:rFonts w:ascii="Times New Roman" w:cs="Times New Roman" w:eastAsia="Times New Roman" w:hAnsi="Times New Roman"/>
          <w:sz w:val="13"/>
          <w:szCs w:val="13"/>
          <w:color w:val="auto"/>
        </w:rPr>
      </w:pPr>
    </w:p>
    <w:p>
      <w:pPr>
        <w:ind w:left="2260" w:hanging="325"/>
        <w:spacing w:after="0"/>
        <w:tabs>
          <w:tab w:leader="none" w:pos="2260"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Company’s dependence on distributions from Cibus Global to pay taxes and cover its corporate and overhead expenses;</w:t>
      </w:r>
    </w:p>
    <w:p>
      <w:pPr>
        <w:spacing w:after="0" w:line="102" w:lineRule="exact"/>
        <w:rPr>
          <w:rFonts w:ascii="Times New Roman" w:cs="Times New Roman" w:eastAsia="Times New Roman" w:hAnsi="Times New Roman"/>
          <w:sz w:val="13"/>
          <w:szCs w:val="13"/>
          <w:color w:val="auto"/>
        </w:rPr>
      </w:pPr>
    </w:p>
    <w:p>
      <w:pPr>
        <w:ind w:left="2260" w:hanging="325"/>
        <w:spacing w:after="0"/>
        <w:tabs>
          <w:tab w:leader="none" w:pos="2260"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regulatory developments that disfavor or impose significant burdens on gene editing processes or products;</w:t>
      </w:r>
    </w:p>
    <w:p>
      <w:pPr>
        <w:spacing w:after="0" w:line="102" w:lineRule="exact"/>
        <w:rPr>
          <w:rFonts w:ascii="Times New Roman" w:cs="Times New Roman" w:eastAsia="Times New Roman" w:hAnsi="Times New Roman"/>
          <w:sz w:val="13"/>
          <w:szCs w:val="13"/>
          <w:color w:val="auto"/>
        </w:rPr>
      </w:pPr>
    </w:p>
    <w:p>
      <w:pPr>
        <w:ind w:left="2260" w:hanging="325"/>
        <w:spacing w:after="0"/>
        <w:tabs>
          <w:tab w:leader="none" w:pos="2260"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delays and uncertainties regarding regulatory developments in the European Union;</w:t>
      </w:r>
    </w:p>
    <w:p>
      <w:pPr>
        <w:spacing w:after="0" w:line="102" w:lineRule="exact"/>
        <w:rPr>
          <w:rFonts w:ascii="Times New Roman" w:cs="Times New Roman" w:eastAsia="Times New Roman" w:hAnsi="Times New Roman"/>
          <w:sz w:val="13"/>
          <w:szCs w:val="13"/>
          <w:color w:val="auto"/>
        </w:rPr>
      </w:pPr>
    </w:p>
    <w:p>
      <w:pPr>
        <w:ind w:left="2260" w:hanging="325"/>
        <w:spacing w:after="0"/>
        <w:tabs>
          <w:tab w:leader="none" w:pos="2260"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Company’s ability to achieve commercial success;</w:t>
      </w:r>
    </w:p>
    <w:p>
      <w:pPr>
        <w:spacing w:after="0" w:line="102" w:lineRule="exact"/>
        <w:rPr>
          <w:rFonts w:ascii="Times New Roman" w:cs="Times New Roman" w:eastAsia="Times New Roman" w:hAnsi="Times New Roman"/>
          <w:sz w:val="13"/>
          <w:szCs w:val="13"/>
          <w:color w:val="auto"/>
        </w:rPr>
      </w:pPr>
    </w:p>
    <w:p>
      <w:pPr>
        <w:ind w:left="2260" w:hanging="325"/>
        <w:spacing w:after="0"/>
        <w:tabs>
          <w:tab w:leader="none" w:pos="2260"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commodity prices and other market risks facing the agricultural sector;</w:t>
      </w:r>
    </w:p>
    <w:p>
      <w:pPr>
        <w:spacing w:after="0" w:line="102" w:lineRule="exact"/>
        <w:rPr>
          <w:rFonts w:ascii="Times New Roman" w:cs="Times New Roman" w:eastAsia="Times New Roman" w:hAnsi="Times New Roman"/>
          <w:sz w:val="13"/>
          <w:szCs w:val="13"/>
          <w:color w:val="auto"/>
        </w:rPr>
      </w:pPr>
    </w:p>
    <w:p>
      <w:pPr>
        <w:ind w:left="2260" w:hanging="325"/>
        <w:spacing w:after="0"/>
        <w:tabs>
          <w:tab w:leader="none" w:pos="2260"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technological developments that could render the Company’s technologies obsolete;</w:t>
      </w:r>
    </w:p>
    <w:p>
      <w:pPr>
        <w:spacing w:after="0" w:line="102" w:lineRule="exact"/>
        <w:rPr>
          <w:rFonts w:ascii="Times New Roman" w:cs="Times New Roman" w:eastAsia="Times New Roman" w:hAnsi="Times New Roman"/>
          <w:sz w:val="13"/>
          <w:szCs w:val="13"/>
          <w:color w:val="auto"/>
        </w:rPr>
      </w:pPr>
    </w:p>
    <w:p>
      <w:pPr>
        <w:ind w:left="2260" w:right="1019" w:hanging="325"/>
        <w:spacing w:after="0" w:line="297" w:lineRule="auto"/>
        <w:tabs>
          <w:tab w:leader="none" w:pos="2260"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impacts of the Company’s headcount reductions and other cost reduction measures, which may include operational and strategic challenges, and the potential for additional cost reduction measures;</w:t>
      </w:r>
    </w:p>
    <w:p>
      <w:pPr>
        <w:spacing w:after="0" w:line="43" w:lineRule="exact"/>
        <w:rPr>
          <w:rFonts w:ascii="Times New Roman" w:cs="Times New Roman" w:eastAsia="Times New Roman" w:hAnsi="Times New Roman"/>
          <w:sz w:val="13"/>
          <w:szCs w:val="13"/>
          <w:color w:val="auto"/>
        </w:rPr>
      </w:pPr>
    </w:p>
    <w:p>
      <w:pPr>
        <w:ind w:left="2260" w:right="419" w:hanging="325"/>
        <w:spacing w:after="0" w:line="297" w:lineRule="auto"/>
        <w:tabs>
          <w:tab w:leader="none" w:pos="2260"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changes in macroeconomic and market conditions, including inflation, supply chain constraints, and rising interest rates, and economic volatility and uncertainty arising from dynamic trade policies, including tariffs and retaliatory tariffs, and market reactions to such policies;</w:t>
      </w:r>
    </w:p>
    <w:p>
      <w:pPr>
        <w:spacing w:after="0" w:line="43" w:lineRule="exact"/>
        <w:rPr>
          <w:rFonts w:ascii="Times New Roman" w:cs="Times New Roman" w:eastAsia="Times New Roman" w:hAnsi="Times New Roman"/>
          <w:sz w:val="13"/>
          <w:szCs w:val="13"/>
          <w:color w:val="auto"/>
        </w:rPr>
      </w:pPr>
    </w:p>
    <w:p>
      <w:pPr>
        <w:ind w:left="2260" w:right="719" w:hanging="325"/>
        <w:spacing w:after="0" w:line="297" w:lineRule="auto"/>
        <w:tabs>
          <w:tab w:leader="none" w:pos="2260"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dislocations in the capital markets and challenges in accessing liquidity and the impact of such liquidity challenges on the Company’s ability to execute on its business plan;</w:t>
      </w:r>
    </w:p>
    <w:p>
      <w:pPr>
        <w:spacing w:after="0" w:line="43" w:lineRule="exact"/>
        <w:rPr>
          <w:rFonts w:ascii="Times New Roman" w:cs="Times New Roman" w:eastAsia="Times New Roman" w:hAnsi="Times New Roman"/>
          <w:sz w:val="13"/>
          <w:szCs w:val="13"/>
          <w:color w:val="auto"/>
        </w:rPr>
      </w:pPr>
    </w:p>
    <w:p>
      <w:pPr>
        <w:ind w:left="2260" w:hanging="325"/>
        <w:spacing w:after="0"/>
        <w:tabs>
          <w:tab w:leader="none" w:pos="2260"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Company’s assessment of the period of time through which its financial resources will be adequate to support operations; and</w:t>
      </w:r>
    </w:p>
    <w:p>
      <w:pPr>
        <w:spacing w:after="0" w:line="102" w:lineRule="exact"/>
        <w:rPr>
          <w:rFonts w:ascii="Times New Roman" w:cs="Times New Roman" w:eastAsia="Times New Roman" w:hAnsi="Times New Roman"/>
          <w:sz w:val="13"/>
          <w:szCs w:val="13"/>
          <w:color w:val="auto"/>
        </w:rPr>
      </w:pPr>
    </w:p>
    <w:p>
      <w:pPr>
        <w:ind w:left="2260" w:right="419" w:hanging="325"/>
        <w:spacing w:after="0" w:line="278" w:lineRule="auto"/>
        <w:tabs>
          <w:tab w:leader="none" w:pos="2260"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other important risks and uncertainties described in “Item 1A. Risk Factors” in the Company’s Annual Report on Form 10-K, which was filed with the SEC on March 17, 2026, as they may be updated or supplemented from time-to-time in the Company’s subsequent reports on Forms 10-Q and 8-K filed with the SEC.</w:t>
      </w:r>
    </w:p>
    <w:p>
      <w:pPr>
        <w:spacing w:after="0" w:line="125" w:lineRule="exact"/>
        <w:rPr>
          <w:sz w:val="20"/>
          <w:szCs w:val="20"/>
          <w:color w:val="auto"/>
        </w:rPr>
      </w:pPr>
    </w:p>
    <w:p>
      <w:pPr>
        <w:ind w:left="1540" w:right="479" w:firstLine="329"/>
        <w:spacing w:after="0" w:line="266" w:lineRule="auto"/>
        <w:rPr>
          <w:sz w:val="20"/>
          <w:szCs w:val="20"/>
          <w:color w:val="auto"/>
        </w:rPr>
      </w:pPr>
      <w:r>
        <w:rPr>
          <w:rFonts w:ascii="Times New Roman" w:cs="Times New Roman" w:eastAsia="Times New Roman" w:hAnsi="Times New Roman"/>
          <w:sz w:val="13"/>
          <w:szCs w:val="13"/>
          <w:color w:val="auto"/>
        </w:rPr>
        <w:t>While the list of factors presented here is considered representative, no such list should be considered to be a complete statement of all potential risks and uncertainties. Unlisted factors may present significant additional obstacles to the realization of forward-looking statements. Consequences of material differences in results as compared with those anticipated in the forward-looking statements could include, among other things, business disruption, operational problems, financial loss, legal liability to third parties and similar risks, any of which could have a material adverse effect on the Company’s consolidated financial condition, results of operations or liquidity. Therefore, you should not place undue reliance on any of these forward-looking statements.</w:t>
      </w:r>
    </w:p>
    <w:p>
      <w:pPr>
        <w:spacing w:after="0" w:line="135" w:lineRule="exact"/>
        <w:rPr>
          <w:sz w:val="20"/>
          <w:szCs w:val="20"/>
          <w:color w:val="auto"/>
        </w:rPr>
      </w:pPr>
    </w:p>
    <w:p>
      <w:pPr>
        <w:ind w:left="1540" w:right="459" w:firstLine="329"/>
        <w:spacing w:after="0" w:line="271" w:lineRule="auto"/>
        <w:rPr>
          <w:sz w:val="20"/>
          <w:szCs w:val="20"/>
          <w:color w:val="auto"/>
        </w:rPr>
      </w:pPr>
      <w:r>
        <w:rPr>
          <w:rFonts w:ascii="Times New Roman" w:cs="Times New Roman" w:eastAsia="Times New Roman" w:hAnsi="Times New Roman"/>
          <w:sz w:val="13"/>
          <w:szCs w:val="13"/>
          <w:color w:val="auto"/>
        </w:rPr>
        <w:t>Any forward-looking statement made by the Company in this prospectus supplement is based only on information currently available to the Company and speaks only as of the date hereof. Cibus does not assume any obligation to publicly provide revisions or updates to any forward-looking statements after the date of this prospectus supplement, whether as a result of new information, future developments or otherwise, should circumstances change, except as otherwise required by securities and other applicable laws.</w:t>
      </w:r>
    </w:p>
    <w:p>
      <w:pPr>
        <w:spacing w:after="0" w:line="131" w:lineRule="exact"/>
        <w:rPr>
          <w:sz w:val="20"/>
          <w:szCs w:val="20"/>
          <w:color w:val="auto"/>
        </w:rPr>
      </w:pPr>
    </w:p>
    <w:p>
      <w:pPr>
        <w:jc w:val="both"/>
        <w:ind w:left="1540" w:right="419" w:firstLine="329"/>
        <w:spacing w:after="0" w:line="271" w:lineRule="auto"/>
        <w:rPr>
          <w:sz w:val="20"/>
          <w:szCs w:val="20"/>
          <w:color w:val="auto"/>
        </w:rPr>
      </w:pPr>
      <w:r>
        <w:rPr>
          <w:rFonts w:ascii="Times New Roman" w:cs="Times New Roman" w:eastAsia="Times New Roman" w:hAnsi="Times New Roman"/>
          <w:sz w:val="13"/>
          <w:szCs w:val="13"/>
          <w:color w:val="auto"/>
        </w:rPr>
        <w:t>You should read this prospectus supplement together with the documents Cibus has filed with the SEC that are incorporated by reference and any free writing prospectus that Cibus may authorize for use in connection with this offering completely and with the understanding that Cibus’ actual future results may be materially different from what Cibus currently expects. Cibus qualifies all of the forward-looking statements in the foregoing documents by these cautionary statements.</w:t>
      </w:r>
    </w:p>
    <w:p>
      <w:pPr>
        <w:spacing w:after="0" w:line="81"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3"/>
          <w:szCs w:val="13"/>
          <w:color w:val="auto"/>
        </w:rPr>
        <w:t>S-10</w:t>
      </w:r>
    </w:p>
    <w:p>
      <w:pPr>
        <w:sectPr>
          <w:pgSz w:w="11900" w:h="16838" w:orient="portrait"/>
          <w:cols w:equalWidth="0" w:num="1">
            <w:col w:w="10159"/>
          </w:cols>
          <w:pgMar w:left="300" w:top="375" w:right="1440"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6">
                      <a:extLst>
                        <a:ext uri="{28A0092B-C50C-407E-A947-70E740481C1C}"/>
                      </a:extLst>
                    </a:blip>
                    <a:srcRect/>
                    <a:stretch>
                      <a:fillRect/>
                    </a:stretch>
                  </pic:blipFill>
                  <pic:spPr bwMode="auto">
                    <a:xfrm>
                      <a:off x="0" y="0"/>
                      <a:ext cx="7205345" cy="31750"/>
                    </a:xfrm>
                    <a:prstGeom prst="rect">
                      <a:avLst/>
                    </a:prstGeom>
                    <a:noFill/>
                  </pic:spPr>
                </pic:pic>
              </a:graphicData>
            </a:graphic>
          </wp:anchor>
        </w:drawing>
        <w:t>Table of Contents</w:t>
      </w:r>
    </w:p>
    <w:p>
      <w:pPr>
        <w:spacing w:after="0" w:line="24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USE OF PROCEEDS</w:t>
      </w:r>
    </w:p>
    <w:p>
      <w:pPr>
        <w:spacing w:after="0" w:line="177" w:lineRule="exact"/>
        <w:rPr>
          <w:sz w:val="20"/>
          <w:szCs w:val="20"/>
          <w:color w:val="auto"/>
        </w:rPr>
      </w:pPr>
    </w:p>
    <w:p>
      <w:pPr>
        <w:jc w:val="both"/>
        <w:ind w:left="1540" w:right="459" w:firstLine="329"/>
        <w:spacing w:after="0" w:line="278" w:lineRule="auto"/>
        <w:rPr>
          <w:sz w:val="20"/>
          <w:szCs w:val="20"/>
          <w:color w:val="auto"/>
        </w:rPr>
      </w:pPr>
      <w:r>
        <w:rPr>
          <w:rFonts w:ascii="Times New Roman" w:cs="Times New Roman" w:eastAsia="Times New Roman" w:hAnsi="Times New Roman"/>
          <w:sz w:val="13"/>
          <w:szCs w:val="13"/>
          <w:color w:val="auto"/>
        </w:rPr>
        <w:t>Cibus may issue and sell shares of its Class A Common Stock having aggregate gross sales proceeds of up to $50,000,000 from time to time. The amount of proceeds from this offering will depend upon the number of shares of Class A Common Stock sold and the market price at which such shares are sold. There can be no assurance that Cibus will sell any shares under or fully utilize the Sales Agreement as a source of financing.</w:t>
      </w:r>
    </w:p>
    <w:p>
      <w:pPr>
        <w:spacing w:after="0" w:line="125" w:lineRule="exact"/>
        <w:rPr>
          <w:sz w:val="20"/>
          <w:szCs w:val="20"/>
          <w:color w:val="auto"/>
        </w:rPr>
      </w:pPr>
    </w:p>
    <w:p>
      <w:pPr>
        <w:ind w:left="1540" w:right="639" w:firstLine="329"/>
        <w:spacing w:after="0" w:line="297" w:lineRule="auto"/>
        <w:rPr>
          <w:sz w:val="20"/>
          <w:szCs w:val="20"/>
          <w:color w:val="auto"/>
        </w:rPr>
      </w:pPr>
      <w:r>
        <w:rPr>
          <w:rFonts w:ascii="Times New Roman" w:cs="Times New Roman" w:eastAsia="Times New Roman" w:hAnsi="Times New Roman"/>
          <w:sz w:val="13"/>
          <w:szCs w:val="13"/>
          <w:color w:val="auto"/>
        </w:rPr>
        <w:t>Cibus currently intends to use the net proceeds from this offering for working capital and general corporate purposes, including to fund further development of its weed management traits in Rice and facilities-related costs and expenses.</w:t>
      </w:r>
    </w:p>
    <w:p>
      <w:pPr>
        <w:spacing w:after="0" w:line="114" w:lineRule="exact"/>
        <w:rPr>
          <w:sz w:val="20"/>
          <w:szCs w:val="20"/>
          <w:color w:val="auto"/>
        </w:rPr>
      </w:pPr>
    </w:p>
    <w:p>
      <w:pPr>
        <w:ind w:left="1540" w:right="479" w:firstLine="329"/>
        <w:spacing w:after="0" w:line="297" w:lineRule="auto"/>
        <w:rPr>
          <w:sz w:val="20"/>
          <w:szCs w:val="20"/>
          <w:color w:val="auto"/>
        </w:rPr>
      </w:pPr>
      <w:r>
        <w:rPr>
          <w:rFonts w:ascii="Times New Roman" w:cs="Times New Roman" w:eastAsia="Times New Roman" w:hAnsi="Times New Roman"/>
          <w:sz w:val="13"/>
          <w:szCs w:val="13"/>
          <w:color w:val="auto"/>
        </w:rPr>
        <w:t>Cibus may find it necessary or advisable to use the net proceeds for other purposes and Cibus’ management retains broad discretion regarding the use of the net proceeds from this offering, including discretion over the amounts and timing of any actual expenditures.</w:t>
      </w:r>
    </w:p>
    <w:p>
      <w:pPr>
        <w:spacing w:after="0" w:line="114" w:lineRule="exact"/>
        <w:rPr>
          <w:sz w:val="20"/>
          <w:szCs w:val="20"/>
          <w:color w:val="auto"/>
        </w:rPr>
      </w:pPr>
    </w:p>
    <w:p>
      <w:pPr>
        <w:ind w:left="1540" w:right="579" w:firstLine="329"/>
        <w:spacing w:after="0" w:line="278" w:lineRule="auto"/>
        <w:rPr>
          <w:sz w:val="20"/>
          <w:szCs w:val="20"/>
          <w:color w:val="auto"/>
        </w:rPr>
      </w:pPr>
      <w:r>
        <w:rPr>
          <w:rFonts w:ascii="Times New Roman" w:cs="Times New Roman" w:eastAsia="Times New Roman" w:hAnsi="Times New Roman"/>
          <w:sz w:val="13"/>
          <w:szCs w:val="13"/>
          <w:color w:val="auto"/>
        </w:rPr>
        <w:t>Pending Cibus’ use of the net proceeds from this offering, Cibus intends to invest the net proceeds in marketable securities that may include investment-grade interest-bearing securities, money market accounts, certificates of deposit, commercial paper and guaranteed obligations of the U.S. government in accordance with Cibus’ investment policy.</w:t>
      </w:r>
    </w:p>
    <w:p>
      <w:pPr>
        <w:spacing w:after="0" w:line="75"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3"/>
          <w:szCs w:val="13"/>
          <w:color w:val="auto"/>
        </w:rPr>
        <w:t>S-11</w:t>
      </w:r>
    </w:p>
    <w:p>
      <w:pPr>
        <w:sectPr>
          <w:pgSz w:w="11900" w:h="16838" w:orient="portrait"/>
          <w:cols w:equalWidth="0" w:num="1">
            <w:col w:w="10159"/>
          </w:cols>
          <w:pgMar w:left="300" w:top="375" w:right="1440"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7">
                      <a:extLst>
                        <a:ext uri="{28A0092B-C50C-407E-A947-70E740481C1C}"/>
                      </a:extLst>
                    </a:blip>
                    <a:srcRect/>
                    <a:stretch>
                      <a:fillRect/>
                    </a:stretch>
                  </pic:blipFill>
                  <pic:spPr bwMode="auto">
                    <a:xfrm>
                      <a:off x="0" y="0"/>
                      <a:ext cx="7205345" cy="31750"/>
                    </a:xfrm>
                    <a:prstGeom prst="rect">
                      <a:avLst/>
                    </a:prstGeom>
                    <a:noFill/>
                  </pic:spPr>
                </pic:pic>
              </a:graphicData>
            </a:graphic>
          </wp:anchor>
        </w:drawing>
        <w:t>Table of Contents</w:t>
      </w:r>
    </w:p>
    <w:p>
      <w:pPr>
        <w:spacing w:after="0" w:line="24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DIVIDEND POLICY</w:t>
      </w:r>
    </w:p>
    <w:p>
      <w:pPr>
        <w:spacing w:after="0" w:line="177" w:lineRule="exact"/>
        <w:rPr>
          <w:sz w:val="20"/>
          <w:szCs w:val="20"/>
          <w:color w:val="auto"/>
        </w:rPr>
      </w:pPr>
    </w:p>
    <w:p>
      <w:pPr>
        <w:ind w:left="1540" w:right="719" w:firstLine="329"/>
        <w:spacing w:after="0" w:line="271" w:lineRule="auto"/>
        <w:rPr>
          <w:sz w:val="20"/>
          <w:szCs w:val="20"/>
          <w:color w:val="auto"/>
        </w:rPr>
      </w:pPr>
      <w:r>
        <w:rPr>
          <w:rFonts w:ascii="Times New Roman" w:cs="Times New Roman" w:eastAsia="Times New Roman" w:hAnsi="Times New Roman"/>
          <w:sz w:val="13"/>
          <w:szCs w:val="13"/>
          <w:color w:val="auto"/>
        </w:rPr>
        <w:t>Cibus has never declared or paid any cash dividends on Cibus’ capital stock. Cibus currently intends to retain any future earnings to invest in Cibus’ business and does not expect to pay any dividends in the foreseeable future. Any determination to pay dividends in the future will be at the discretion of Cibus’ board of directors and will depend on Cibus’ financial condition, operating results, capital requirements and general business conditions and other factors that Cibus’ board of directors may deem relevant.</w:t>
      </w:r>
    </w:p>
    <w:p>
      <w:pPr>
        <w:spacing w:after="0" w:line="81"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3"/>
          <w:szCs w:val="13"/>
          <w:color w:val="auto"/>
        </w:rPr>
        <w:t>S-12</w:t>
      </w:r>
    </w:p>
    <w:p>
      <w:pPr>
        <w:sectPr>
          <w:pgSz w:w="11900" w:h="16838" w:orient="portrait"/>
          <w:cols w:equalWidth="0" w:num="1">
            <w:col w:w="10159"/>
          </w:cols>
          <w:pgMar w:left="300" w:top="375" w:right="1440"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8">
                      <a:extLst>
                        <a:ext uri="{28A0092B-C50C-407E-A947-70E740481C1C}"/>
                      </a:extLst>
                    </a:blip>
                    <a:srcRect/>
                    <a:stretch>
                      <a:fillRect/>
                    </a:stretch>
                  </pic:blipFill>
                  <pic:spPr bwMode="auto">
                    <a:xfrm>
                      <a:off x="0" y="0"/>
                      <a:ext cx="7205345" cy="31750"/>
                    </a:xfrm>
                    <a:prstGeom prst="rect">
                      <a:avLst/>
                    </a:prstGeom>
                    <a:noFill/>
                  </pic:spPr>
                </pic:pic>
              </a:graphicData>
            </a:graphic>
          </wp:anchor>
        </w:drawing>
        <w:t>Table of Contents</w:t>
      </w:r>
    </w:p>
    <w:p>
      <w:pPr>
        <w:spacing w:after="0" w:line="24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3"/>
          <w:szCs w:val="13"/>
          <w:b w:val="1"/>
          <w:bCs w:val="1"/>
          <w:color w:val="auto"/>
        </w:rPr>
        <w:t>DESCRIPTION OF CAPITAL STOCK</w:t>
      </w:r>
    </w:p>
    <w:p>
      <w:pPr>
        <w:spacing w:after="0" w:line="173"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3"/>
          <w:szCs w:val="13"/>
          <w:b w:val="1"/>
          <w:bCs w:val="1"/>
          <w:color w:val="auto"/>
        </w:rPr>
        <w:t>General</w:t>
      </w:r>
    </w:p>
    <w:p>
      <w:pPr>
        <w:spacing w:after="0" w:line="96" w:lineRule="exact"/>
        <w:rPr>
          <w:sz w:val="20"/>
          <w:szCs w:val="20"/>
          <w:color w:val="auto"/>
        </w:rPr>
      </w:pPr>
    </w:p>
    <w:p>
      <w:pPr>
        <w:ind w:left="1540" w:right="439" w:firstLine="329"/>
        <w:spacing w:after="0" w:line="271" w:lineRule="auto"/>
        <w:rPr>
          <w:sz w:val="20"/>
          <w:szCs w:val="20"/>
          <w:color w:val="auto"/>
        </w:rPr>
      </w:pPr>
      <w:r>
        <w:rPr>
          <w:rFonts w:ascii="Times New Roman" w:cs="Times New Roman" w:eastAsia="Times New Roman" w:hAnsi="Times New Roman"/>
          <w:sz w:val="13"/>
          <w:szCs w:val="13"/>
          <w:color w:val="auto"/>
        </w:rPr>
        <w:t>The Company’s total number of authorized shares of capital stock consists of (i) 210,000,000 shares of Class A Common Stock, (ii) 90,000,000 shares of Class B Common Stock, and (iii) 10,000,000 shares of preferred stock, par value of $0.0001 per share (“Preferred Stock”). As of May 8, 2026, the Company had outstanding 76,331,634 shares of Class A Common Stock (excluding 52,045 restricted shares of Class A Common Stock, which are outstanding, but remain subject to vesting), no shares of Class B Common Stock and no shares of Preferred Stock.</w:t>
      </w:r>
    </w:p>
    <w:p>
      <w:pPr>
        <w:spacing w:after="0" w:line="208"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3"/>
          <w:szCs w:val="13"/>
          <w:b w:val="1"/>
          <w:bCs w:val="1"/>
          <w:color w:val="auto"/>
        </w:rPr>
        <w:t>Class A Common Stock</w:t>
      </w:r>
    </w:p>
    <w:p>
      <w:pPr>
        <w:spacing w:after="0" w:line="96" w:lineRule="exact"/>
        <w:rPr>
          <w:sz w:val="20"/>
          <w:szCs w:val="20"/>
          <w:color w:val="auto"/>
        </w:rPr>
      </w:pPr>
    </w:p>
    <w:p>
      <w:pPr>
        <w:ind w:left="1540" w:right="659" w:firstLine="329"/>
        <w:spacing w:after="0" w:line="297" w:lineRule="auto"/>
        <w:rPr>
          <w:sz w:val="20"/>
          <w:szCs w:val="20"/>
          <w:color w:val="auto"/>
        </w:rPr>
      </w:pPr>
      <w:r>
        <w:rPr>
          <w:rFonts w:ascii="Times New Roman" w:cs="Times New Roman" w:eastAsia="Times New Roman" w:hAnsi="Times New Roman"/>
          <w:sz w:val="13"/>
          <w:szCs w:val="13"/>
          <w:color w:val="auto"/>
        </w:rPr>
        <w:t>The Class A Common Stock is listed on Nasdaq under the symbol “CBUS.” The transfer agent and registrar for the Class A Common Stock is Broadridge Corporate Issuer Solutions, LLC. The transfer agent’s address is 1155 Long Island Avenue, Edgewood, NY 11717.</w:t>
      </w:r>
    </w:p>
    <w:p>
      <w:pPr>
        <w:spacing w:after="0" w:line="114" w:lineRule="exact"/>
        <w:rPr>
          <w:sz w:val="20"/>
          <w:szCs w:val="20"/>
          <w:color w:val="auto"/>
        </w:rPr>
      </w:pPr>
    </w:p>
    <w:p>
      <w:pPr>
        <w:ind w:left="1540" w:right="1039" w:firstLine="329"/>
        <w:spacing w:after="0" w:line="297" w:lineRule="auto"/>
        <w:rPr>
          <w:sz w:val="20"/>
          <w:szCs w:val="20"/>
          <w:color w:val="auto"/>
        </w:rPr>
      </w:pPr>
      <w:r>
        <w:rPr>
          <w:rFonts w:ascii="Times New Roman" w:cs="Times New Roman" w:eastAsia="Times New Roman" w:hAnsi="Times New Roman"/>
          <w:sz w:val="13"/>
          <w:szCs w:val="13"/>
          <w:color w:val="auto"/>
        </w:rPr>
        <w:t>The material terms of the Class A Common Stock are described under the heading “Description of Capital Stock” in the accompanying prospectus.</w:t>
      </w:r>
    </w:p>
    <w:p>
      <w:pPr>
        <w:spacing w:after="0" w:line="6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3"/>
          <w:szCs w:val="13"/>
          <w:color w:val="auto"/>
        </w:rPr>
        <w:t>S-13</w:t>
      </w:r>
    </w:p>
    <w:p>
      <w:pPr>
        <w:sectPr>
          <w:pgSz w:w="11900" w:h="16838" w:orient="portrait"/>
          <w:cols w:equalWidth="0" w:num="1">
            <w:col w:w="10159"/>
          </w:cols>
          <w:pgMar w:left="300" w:top="375" w:right="1440"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9">
                      <a:extLst>
                        <a:ext uri="{28A0092B-C50C-407E-A947-70E740481C1C}"/>
                      </a:extLst>
                    </a:blip>
                    <a:srcRect/>
                    <a:stretch>
                      <a:fillRect/>
                    </a:stretch>
                  </pic:blipFill>
                  <pic:spPr bwMode="auto">
                    <a:xfrm>
                      <a:off x="0" y="0"/>
                      <a:ext cx="7205345" cy="31750"/>
                    </a:xfrm>
                    <a:prstGeom prst="rect">
                      <a:avLst/>
                    </a:prstGeom>
                    <a:noFill/>
                  </pic:spPr>
                </pic:pic>
              </a:graphicData>
            </a:graphic>
          </wp:anchor>
        </w:drawing>
        <w:t>Table of Contents</w:t>
      </w:r>
    </w:p>
    <w:p>
      <w:pPr>
        <w:spacing w:after="0" w:line="24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3"/>
          <w:szCs w:val="13"/>
          <w:b w:val="1"/>
          <w:bCs w:val="1"/>
          <w:color w:val="auto"/>
        </w:rPr>
        <w:t>DILUTION</w:t>
      </w:r>
    </w:p>
    <w:p>
      <w:pPr>
        <w:spacing w:after="0" w:line="177" w:lineRule="exact"/>
        <w:rPr>
          <w:sz w:val="20"/>
          <w:szCs w:val="20"/>
          <w:color w:val="auto"/>
        </w:rPr>
      </w:pPr>
    </w:p>
    <w:p>
      <w:pPr>
        <w:ind w:left="1540" w:right="659" w:firstLine="329"/>
        <w:spacing w:after="0" w:line="278" w:lineRule="auto"/>
        <w:rPr>
          <w:sz w:val="20"/>
          <w:szCs w:val="20"/>
          <w:color w:val="auto"/>
        </w:rPr>
      </w:pPr>
      <w:r>
        <w:rPr>
          <w:rFonts w:ascii="Times New Roman" w:cs="Times New Roman" w:eastAsia="Times New Roman" w:hAnsi="Times New Roman"/>
          <w:sz w:val="13"/>
          <w:szCs w:val="13"/>
          <w:color w:val="auto"/>
        </w:rPr>
        <w:t>If you invest in Cibus’ Class A Common Stock in this offering, you may experience immediate and substantial dilution to the extent of the difference between the price per share paid in this offering and the adjusted net tangible book value (deficit) per share of Cibus’ common stock after giving effect to this offering.</w:t>
      </w:r>
    </w:p>
    <w:p>
      <w:pPr>
        <w:spacing w:after="0" w:line="125" w:lineRule="exact"/>
        <w:rPr>
          <w:sz w:val="20"/>
          <w:szCs w:val="20"/>
          <w:color w:val="auto"/>
        </w:rPr>
      </w:pPr>
    </w:p>
    <w:p>
      <w:pPr>
        <w:ind w:left="1540" w:right="459" w:firstLine="329"/>
        <w:spacing w:after="0" w:line="268" w:lineRule="auto"/>
        <w:rPr>
          <w:sz w:val="20"/>
          <w:szCs w:val="20"/>
          <w:color w:val="auto"/>
        </w:rPr>
      </w:pPr>
      <w:r>
        <w:rPr>
          <w:rFonts w:ascii="Times New Roman" w:cs="Times New Roman" w:eastAsia="Times New Roman" w:hAnsi="Times New Roman"/>
          <w:sz w:val="13"/>
          <w:szCs w:val="13"/>
          <w:color w:val="auto"/>
        </w:rPr>
        <w:t>The Company’s net tangible book value (deficit) as of March 31, 2026 was $(228.3) million, or $(2.99) per share of Class A Common Stock. Net tangible book value (deficit) per share Class A Common Stock is determined by dividing Cibus’ total tangible assets, less total liabilities, by the number of shares of Class A Common Stock outstanding as of March 31, 2026. Dilution with respect to net tangible book value (deficit) per share of Class A Common Stock represents the difference between the amount per share paid by purchasers of shares of Class A Common Stock in this offering and the net tangible book value (deficit) per share of Class A Common Stock immediately after this offering.</w:t>
      </w:r>
    </w:p>
    <w:p>
      <w:pPr>
        <w:spacing w:after="0" w:line="133" w:lineRule="exact"/>
        <w:rPr>
          <w:sz w:val="20"/>
          <w:szCs w:val="20"/>
          <w:color w:val="auto"/>
        </w:rPr>
      </w:pPr>
    </w:p>
    <w:p>
      <w:pPr>
        <w:ind w:left="1540" w:right="399" w:firstLine="329"/>
        <w:spacing w:after="0" w:line="266" w:lineRule="auto"/>
        <w:rPr>
          <w:sz w:val="20"/>
          <w:szCs w:val="20"/>
          <w:color w:val="auto"/>
        </w:rPr>
      </w:pPr>
      <w:r>
        <w:rPr>
          <w:rFonts w:ascii="Times New Roman" w:cs="Times New Roman" w:eastAsia="Times New Roman" w:hAnsi="Times New Roman"/>
          <w:sz w:val="13"/>
          <w:szCs w:val="13"/>
          <w:color w:val="auto"/>
        </w:rPr>
        <w:t>After giving effect to the sale of 33,333,333 shares of Cibus’ Class A Common Stock in the aggregate gross amount of approximately $50,000,000 in this offering at an assumed offering price of $1.50, and after deducting commissions and estimated initial offering expenses payable by Cibus, Cibus’ as adjusted net tangible book deficit as of March 31, 2026 would have been approximately $(180.1) million, or $(1.64) per share of Class A Common Stock. This represents an immediate increase in net tangible book value of $1.35 per share to existing stockholders and immediate dilution in net tangible book deficit of $3.14 per share to new investors purchasing Class A Common Stock in this offering. The following table illustrates this dilution on a per share basis:</w:t>
      </w:r>
    </w:p>
    <w:p>
      <w:pPr>
        <w:spacing w:after="0" w:line="168" w:lineRule="exact"/>
        <w:rPr>
          <w:sz w:val="20"/>
          <w:szCs w:val="20"/>
          <w:color w:val="auto"/>
        </w:rPr>
      </w:pPr>
    </w:p>
    <w:tbl>
      <w:tblPr>
        <w:tblLayout w:type="fixed"/>
        <w:tblInd w:w="2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Assumed public offering price per share of Class A Common Stock</w:t>
            </w:r>
          </w:p>
        </w:tc>
        <w:tc>
          <w:tcPr>
            <w:tcW w:w="2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$ 1.50</w:t>
            </w:r>
          </w:p>
        </w:tc>
        <w:tc>
          <w:tcPr>
            <w:tcW w:w="80" w:type="dxa"/>
            <w:vAlign w:val="bottom"/>
            <w:shd w:val="clear" w:color="auto" w:fill="CCEEFF"/>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544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Net tangible book value (deficit) per share as of March 31, 2026</w:t>
            </w:r>
          </w:p>
        </w:tc>
        <w:tc>
          <w:tcPr>
            <w:tcW w:w="820" w:type="dxa"/>
            <w:vAlign w:val="bottom"/>
            <w:gridSpan w:val="3"/>
          </w:tcPr>
          <w:p>
            <w:pPr>
              <w:ind w:left="220"/>
              <w:spacing w:after="0"/>
              <w:rPr>
                <w:sz w:val="20"/>
                <w:szCs w:val="20"/>
                <w:color w:val="auto"/>
              </w:rPr>
            </w:pPr>
            <w:r>
              <w:rPr>
                <w:rFonts w:ascii="Times New Roman" w:cs="Times New Roman" w:eastAsia="Times New Roman" w:hAnsi="Times New Roman"/>
                <w:sz w:val="13"/>
                <w:szCs w:val="13"/>
                <w:color w:val="auto"/>
              </w:rPr>
              <w:t>$(2.99)</w:t>
            </w:r>
          </w:p>
        </w:tc>
        <w:tc>
          <w:tcPr>
            <w:tcW w:w="180" w:type="dxa"/>
            <w:vAlign w:val="bottom"/>
          </w:tcPr>
          <w:p>
            <w:pPr>
              <w:spacing w:after="0"/>
              <w:rPr>
                <w:sz w:val="14"/>
                <w:szCs w:val="14"/>
                <w:color w:val="auto"/>
              </w:rPr>
            </w:pPr>
          </w:p>
        </w:tc>
        <w:tc>
          <w:tcPr>
            <w:tcW w:w="44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 xml:space="preserve">    </w:t>
            </w:r>
          </w:p>
        </w:tc>
      </w:tr>
      <w:tr>
        <w:trPr>
          <w:trHeight w:val="161"/>
        </w:trPr>
        <w:tc>
          <w:tcPr>
            <w:tcW w:w="20" w:type="dxa"/>
            <w:vAlign w:val="bottom"/>
          </w:tcPr>
          <w:p>
            <w:pPr>
              <w:spacing w:after="0"/>
              <w:rPr>
                <w:sz w:val="14"/>
                <w:szCs w:val="14"/>
                <w:color w:val="auto"/>
              </w:rPr>
            </w:pPr>
          </w:p>
        </w:tc>
        <w:tc>
          <w:tcPr>
            <w:tcW w:w="5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Increase in net tangible book value per share attributable to this offering</w:t>
            </w:r>
          </w:p>
        </w:tc>
        <w:tc>
          <w:tcPr>
            <w:tcW w:w="5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$ 1.35</w:t>
            </w: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49"/>
        </w:trPr>
        <w:tc>
          <w:tcPr>
            <w:tcW w:w="54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As adjusted net tangible book value (deficit) per share as of March 31, 2026, after giving effect to</w:t>
            </w:r>
          </w:p>
        </w:tc>
        <w:tc>
          <w:tcPr>
            <w:tcW w:w="24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74"/>
        </w:trPr>
        <w:tc>
          <w:tcPr>
            <w:tcW w:w="20" w:type="dxa"/>
            <w:vAlign w:val="bottom"/>
          </w:tcPr>
          <w:p>
            <w:pPr>
              <w:spacing w:after="0"/>
              <w:rPr>
                <w:sz w:val="15"/>
                <w:szCs w:val="15"/>
                <w:color w:val="auto"/>
              </w:rPr>
            </w:pPr>
          </w:p>
        </w:tc>
        <w:tc>
          <w:tcPr>
            <w:tcW w:w="54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this offering</w:t>
            </w: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gridSpan w:val="2"/>
          </w:tcPr>
          <w:p>
            <w:pPr>
              <w:spacing w:after="0"/>
              <w:rPr>
                <w:sz w:val="20"/>
                <w:szCs w:val="20"/>
                <w:color w:val="auto"/>
              </w:rPr>
            </w:pPr>
            <w:r>
              <w:rPr>
                <w:rFonts w:ascii="Times New Roman" w:cs="Times New Roman" w:eastAsia="Times New Roman" w:hAnsi="Times New Roman"/>
                <w:sz w:val="13"/>
                <w:szCs w:val="13"/>
                <w:u w:val="single" w:color="auto"/>
                <w:color w:val="auto"/>
              </w:rPr>
              <w:t>$</w:t>
            </w:r>
            <w:r>
              <w:rPr>
                <w:rFonts w:ascii="Times New Roman" w:cs="Times New Roman" w:eastAsia="Times New Roman" w:hAnsi="Times New Roman"/>
                <w:sz w:val="13"/>
                <w:szCs w:val="13"/>
                <w:color w:val="auto"/>
              </w:rPr>
              <w:t>(1.64)</w:t>
            </w:r>
          </w:p>
        </w:tc>
      </w:tr>
      <w:tr>
        <w:trPr>
          <w:trHeight w:val="161"/>
        </w:trPr>
        <w:tc>
          <w:tcPr>
            <w:tcW w:w="20" w:type="dxa"/>
            <w:vAlign w:val="bottom"/>
          </w:tcPr>
          <w:p>
            <w:pPr>
              <w:spacing w:after="0"/>
              <w:rPr>
                <w:sz w:val="14"/>
                <w:szCs w:val="14"/>
                <w:color w:val="auto"/>
              </w:rPr>
            </w:pPr>
          </w:p>
        </w:tc>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Dilution per share to investors purchasing Class A Common Stock</w:t>
            </w:r>
          </w:p>
        </w:tc>
        <w:tc>
          <w:tcPr>
            <w:tcW w:w="2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$ 3.14</w:t>
            </w:r>
          </w:p>
        </w:tc>
        <w:tc>
          <w:tcPr>
            <w:tcW w:w="80" w:type="dxa"/>
            <w:vAlign w:val="bottom"/>
            <w:shd w:val="clear" w:color="auto" w:fill="CCEEFF"/>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59" w:lineRule="exact"/>
        <w:rPr>
          <w:sz w:val="20"/>
          <w:szCs w:val="20"/>
          <w:color w:val="auto"/>
        </w:rPr>
      </w:pPr>
    </w:p>
    <w:p>
      <w:pPr>
        <w:ind w:left="1540" w:right="559" w:firstLine="329"/>
        <w:spacing w:after="0" w:line="297" w:lineRule="auto"/>
        <w:rPr>
          <w:sz w:val="20"/>
          <w:szCs w:val="20"/>
          <w:color w:val="auto"/>
        </w:rPr>
      </w:pPr>
      <w:r>
        <w:rPr>
          <w:rFonts w:ascii="Times New Roman" w:cs="Times New Roman" w:eastAsia="Times New Roman" w:hAnsi="Times New Roman"/>
          <w:sz w:val="13"/>
          <w:szCs w:val="13"/>
          <w:color w:val="auto"/>
        </w:rPr>
        <w:t>The information above is supplied for illustrative purposes only. The shares sold in this offering, if any, will be sold from time to time at various prices.</w:t>
      </w:r>
    </w:p>
    <w:p>
      <w:pPr>
        <w:spacing w:after="0" w:line="114" w:lineRule="exact"/>
        <w:rPr>
          <w:sz w:val="20"/>
          <w:szCs w:val="20"/>
          <w:color w:val="auto"/>
        </w:rPr>
      </w:pPr>
    </w:p>
    <w:p>
      <w:pPr>
        <w:jc w:val="both"/>
        <w:ind w:left="1540" w:right="819" w:firstLine="329"/>
        <w:spacing w:after="0" w:line="278" w:lineRule="auto"/>
        <w:rPr>
          <w:sz w:val="20"/>
          <w:szCs w:val="20"/>
          <w:color w:val="auto"/>
        </w:rPr>
      </w:pPr>
      <w:r>
        <w:rPr>
          <w:rFonts w:ascii="Times New Roman" w:cs="Times New Roman" w:eastAsia="Times New Roman" w:hAnsi="Times New Roman"/>
          <w:sz w:val="13"/>
          <w:szCs w:val="13"/>
          <w:color w:val="auto"/>
        </w:rPr>
        <w:t>The above discussion and table are based on 76,345,736 shares of Class A Common Stock (inclusive of 62,641 shares of restricted Class A Common Stock, which are outstanding, subject to vesting conditions) outstanding as of March 31, 2026 and no shares of Class B Common Stock outstanding as of March 31, 2026 and excludes, in each case as of that date (unless otherwise indicated):</w:t>
      </w:r>
    </w:p>
    <w:p>
      <w:pPr>
        <w:spacing w:after="0" w:line="55" w:lineRule="exact"/>
        <w:rPr>
          <w:sz w:val="20"/>
          <w:szCs w:val="20"/>
          <w:color w:val="auto"/>
        </w:rPr>
      </w:pPr>
    </w:p>
    <w:p>
      <w:pPr>
        <w:ind w:left="2260" w:right="419" w:hanging="325"/>
        <w:spacing w:after="0" w:line="297" w:lineRule="auto"/>
        <w:tabs>
          <w:tab w:leader="none" w:pos="2260"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1,434,633 shares of Class A Common Stock issuable upon the exercise of outstanding stock options with a weighted average exercise price of $27.48 per share;</w:t>
      </w:r>
    </w:p>
    <w:p>
      <w:pPr>
        <w:spacing w:after="0" w:line="43" w:lineRule="exact"/>
        <w:rPr>
          <w:rFonts w:ascii="Times New Roman" w:cs="Times New Roman" w:eastAsia="Times New Roman" w:hAnsi="Times New Roman"/>
          <w:sz w:val="13"/>
          <w:szCs w:val="13"/>
          <w:color w:val="auto"/>
        </w:rPr>
      </w:pPr>
    </w:p>
    <w:p>
      <w:pPr>
        <w:ind w:left="2260" w:hanging="325"/>
        <w:spacing w:after="0"/>
        <w:tabs>
          <w:tab w:leader="none" w:pos="2260"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1,171,264 shares of Class A Common Stock issuable upon the vesting and settlement of restricted stock units outstanding;</w:t>
      </w:r>
    </w:p>
    <w:p>
      <w:pPr>
        <w:spacing w:after="0" w:line="102" w:lineRule="exact"/>
        <w:rPr>
          <w:rFonts w:ascii="Times New Roman" w:cs="Times New Roman" w:eastAsia="Times New Roman" w:hAnsi="Times New Roman"/>
          <w:sz w:val="13"/>
          <w:szCs w:val="13"/>
          <w:color w:val="auto"/>
        </w:rPr>
      </w:pPr>
    </w:p>
    <w:p>
      <w:pPr>
        <w:ind w:left="2260" w:hanging="325"/>
        <w:spacing w:after="0"/>
        <w:tabs>
          <w:tab w:leader="none" w:pos="2260"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5,305,236 shares of Class A Common Stock reserved for future issuance under the Company’s equity compensation plan;</w:t>
      </w:r>
    </w:p>
    <w:p>
      <w:pPr>
        <w:spacing w:after="0" w:line="102" w:lineRule="exact"/>
        <w:rPr>
          <w:rFonts w:ascii="Times New Roman" w:cs="Times New Roman" w:eastAsia="Times New Roman" w:hAnsi="Times New Roman"/>
          <w:sz w:val="13"/>
          <w:szCs w:val="13"/>
          <w:color w:val="auto"/>
        </w:rPr>
      </w:pPr>
    </w:p>
    <w:p>
      <w:pPr>
        <w:ind w:left="2260" w:right="579" w:hanging="325"/>
        <w:spacing w:after="0" w:line="297" w:lineRule="auto"/>
        <w:tabs>
          <w:tab w:leader="none" w:pos="2260"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158,483 shares of Class A Common Stock issuable upon exercise of outstanding common warrants to purchase Class A Common Stock, each with an exercise price of $69.04 per share of Class A Common Stock;</w:t>
      </w:r>
    </w:p>
    <w:p>
      <w:pPr>
        <w:spacing w:after="0" w:line="43" w:lineRule="exact"/>
        <w:rPr>
          <w:rFonts w:ascii="Times New Roman" w:cs="Times New Roman" w:eastAsia="Times New Roman" w:hAnsi="Times New Roman"/>
          <w:sz w:val="13"/>
          <w:szCs w:val="13"/>
          <w:color w:val="auto"/>
        </w:rPr>
      </w:pPr>
    </w:p>
    <w:p>
      <w:pPr>
        <w:ind w:left="2260" w:right="479" w:hanging="325"/>
        <w:spacing w:after="0" w:line="297" w:lineRule="auto"/>
        <w:tabs>
          <w:tab w:leader="none" w:pos="2260"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1,298,040 shares of Class A Common Stock issuable upon exercise of outstanding common warrants to purchase Class A Common Stock, of which 1,198,040 have an exercise price of $2.50 per share and 100,000 have an exercise price of $10.00 per share;</w:t>
      </w:r>
    </w:p>
    <w:p>
      <w:pPr>
        <w:spacing w:after="0" w:line="6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3"/>
          <w:szCs w:val="13"/>
          <w:color w:val="auto"/>
        </w:rPr>
        <w:t>S-14</w:t>
      </w:r>
    </w:p>
    <w:p>
      <w:pPr>
        <w:sectPr>
          <w:pgSz w:w="11900" w:h="16838" w:orient="portrait"/>
          <w:cols w:equalWidth="0" w:num="1">
            <w:col w:w="10159"/>
          </w:cols>
          <w:pgMar w:left="300" w:top="375" w:right="1440"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0">
                      <a:extLst>
                        <a:ext uri="{28A0092B-C50C-407E-A947-70E740481C1C}"/>
                      </a:extLst>
                    </a:blip>
                    <a:srcRect/>
                    <a:stretch>
                      <a:fillRect/>
                    </a:stretch>
                  </pic:blipFill>
                  <pic:spPr bwMode="auto">
                    <a:xfrm>
                      <a:off x="0" y="0"/>
                      <a:ext cx="7205345" cy="31750"/>
                    </a:xfrm>
                    <a:prstGeom prst="rect">
                      <a:avLst/>
                    </a:prstGeom>
                    <a:noFill/>
                  </pic:spPr>
                </pic:pic>
              </a:graphicData>
            </a:graphic>
          </wp:anchor>
        </w:drawing>
        <w:t>Table of Contents</w:t>
      </w:r>
    </w:p>
    <w:p>
      <w:pPr>
        <w:spacing w:after="0" w:line="248" w:lineRule="exact"/>
        <w:rPr>
          <w:sz w:val="20"/>
          <w:szCs w:val="20"/>
          <w:color w:val="auto"/>
        </w:rPr>
      </w:pPr>
    </w:p>
    <w:p>
      <w:pPr>
        <w:ind w:left="2260" w:right="479" w:hanging="325"/>
        <w:spacing w:after="0" w:line="297" w:lineRule="auto"/>
        <w:tabs>
          <w:tab w:leader="none" w:pos="2260"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9,040,000 shares of Class A Common Stock issuable upon exercise of outstanding common warrants, each with an exercise price of $2.50 per share of Class A Common Stock; and</w:t>
      </w:r>
    </w:p>
    <w:p>
      <w:pPr>
        <w:spacing w:after="0" w:line="43" w:lineRule="exact"/>
        <w:rPr>
          <w:rFonts w:ascii="Times New Roman" w:cs="Times New Roman" w:eastAsia="Times New Roman" w:hAnsi="Times New Roman"/>
          <w:sz w:val="13"/>
          <w:szCs w:val="13"/>
          <w:color w:val="auto"/>
        </w:rPr>
      </w:pPr>
    </w:p>
    <w:p>
      <w:pPr>
        <w:ind w:left="2260" w:right="799" w:hanging="325"/>
        <w:spacing w:after="0" w:line="297" w:lineRule="auto"/>
        <w:tabs>
          <w:tab w:leader="none" w:pos="2260"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400,000 shares of Class A Common Stock issuable upon exercise of outstanding pre-funded warrants, each with an exercise price of $0.0001.</w:t>
      </w:r>
    </w:p>
    <w:p>
      <w:pPr>
        <w:spacing w:after="0" w:line="114" w:lineRule="exact"/>
        <w:rPr>
          <w:sz w:val="20"/>
          <w:szCs w:val="20"/>
          <w:color w:val="auto"/>
        </w:rPr>
      </w:pPr>
    </w:p>
    <w:p>
      <w:pPr>
        <w:ind w:left="1540" w:right="619" w:firstLine="329"/>
        <w:spacing w:after="0" w:line="271" w:lineRule="auto"/>
        <w:rPr>
          <w:sz w:val="20"/>
          <w:szCs w:val="20"/>
          <w:color w:val="auto"/>
        </w:rPr>
      </w:pPr>
      <w:r>
        <w:rPr>
          <w:rFonts w:ascii="Times New Roman" w:cs="Times New Roman" w:eastAsia="Times New Roman" w:hAnsi="Times New Roman"/>
          <w:sz w:val="13"/>
          <w:szCs w:val="13"/>
          <w:color w:val="auto"/>
        </w:rPr>
        <w:t>The above illustration of dilution per share of Class A Common Stock to investors participating in this offering assumes, no exercise of outstanding Existing Warrants, no exercise of outstanding options, no further issuance of shares upon vesting of outstanding restricted stock units, no vesting of outstanding shares of restricted Class A Common Stock and no further issuances under the Company’s equity compensation. To the extent that any of the foregoing has occurred, or will occur, there will be further dilution to new investors.</w:t>
      </w:r>
    </w:p>
    <w:p>
      <w:pPr>
        <w:spacing w:after="0" w:line="131" w:lineRule="exact"/>
        <w:rPr>
          <w:sz w:val="20"/>
          <w:szCs w:val="20"/>
          <w:color w:val="auto"/>
        </w:rPr>
      </w:pPr>
    </w:p>
    <w:p>
      <w:pPr>
        <w:ind w:left="1540" w:right="479" w:firstLine="329"/>
        <w:spacing w:after="0" w:line="265" w:lineRule="auto"/>
        <w:rPr>
          <w:sz w:val="20"/>
          <w:szCs w:val="20"/>
          <w:color w:val="auto"/>
        </w:rPr>
      </w:pPr>
      <w:r>
        <w:rPr>
          <w:rFonts w:ascii="Times New Roman" w:cs="Times New Roman" w:eastAsia="Times New Roman" w:hAnsi="Times New Roman"/>
          <w:sz w:val="13"/>
          <w:szCs w:val="13"/>
          <w:color w:val="auto"/>
        </w:rPr>
        <w:t>Sales of shares of the Company’s Class A Common Stock, if any, under this prospectus supplement may be made in sales deemed to be an “at the market offering” as defined in Rule 415(a)(4) promulgated under the Securities Act from time to time and, therefore, the price of any such securities sold may vary. An increase of $1.00 per share in the price at which the shares of Class A Common Stock are sold from the assumed offering price of</w:t>
      </w:r>
    </w:p>
    <w:p>
      <w:pPr>
        <w:spacing w:after="0" w:line="1" w:lineRule="exact"/>
        <w:rPr>
          <w:sz w:val="20"/>
          <w:szCs w:val="20"/>
          <w:color w:val="auto"/>
        </w:rPr>
      </w:pPr>
    </w:p>
    <w:p>
      <w:pPr>
        <w:ind w:left="1540" w:right="479"/>
        <w:spacing w:after="0" w:line="261" w:lineRule="auto"/>
        <w:rPr>
          <w:sz w:val="20"/>
          <w:szCs w:val="20"/>
          <w:color w:val="auto"/>
        </w:rPr>
      </w:pPr>
      <w:r>
        <w:rPr>
          <w:rFonts w:ascii="Times New Roman" w:cs="Times New Roman" w:eastAsia="Times New Roman" w:hAnsi="Times New Roman"/>
          <w:sz w:val="13"/>
          <w:szCs w:val="13"/>
          <w:color w:val="auto"/>
        </w:rPr>
        <w:t>1.50 per share shown in the table above, assuming all of the Company’s Class A Common Stock in the aggregate amount of $50,000,000 is sold during the term of the Sales Agreement at that price of $2.50 per share, would decrease the Company’s as adjusted net tangible book value per share after the offering to $(1.87) per share and would represent immediate dilution in net tangible book deficit per share to new investors in this offering of $4.37 per share, after deducting commissions and estimated initial offering expenses payable by the Company. A decrease of $1.00 per share in the price at which the shares of common stock are sold from the assumed offering price of $1.50 per share shown in the table above, assuming all of the Company’s Class A Common Stock in the aggregate amount of $50,000,000 is sold during the term of the Sales Agreement at that price of $0.50 per share, would increase the Company’s as adjusted net tangible book value per share after the offering to $(1.02) per share and would represent immediate dilution in net tangible book deficit per share to new investors in this offering of $1.52 per share, after deducting commissions and estimated offering expenses payable by Cibus. This information is supplied for illustrative purposes only.</w:t>
      </w:r>
    </w:p>
    <w:p>
      <w:pPr>
        <w:spacing w:after="0" w:line="86"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3"/>
          <w:szCs w:val="13"/>
          <w:color w:val="auto"/>
        </w:rPr>
        <w:t>S-15</w:t>
      </w:r>
    </w:p>
    <w:p>
      <w:pPr>
        <w:sectPr>
          <w:pgSz w:w="11900" w:h="16838" w:orient="portrait"/>
          <w:cols w:equalWidth="0" w:num="1">
            <w:col w:w="10159"/>
          </w:cols>
          <w:pgMar w:left="300" w:top="375" w:right="1440"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1">
                      <a:extLst>
                        <a:ext uri="{28A0092B-C50C-407E-A947-70E740481C1C}"/>
                      </a:extLst>
                    </a:blip>
                    <a:srcRect/>
                    <a:stretch>
                      <a:fillRect/>
                    </a:stretch>
                  </pic:blipFill>
                  <pic:spPr bwMode="auto">
                    <a:xfrm>
                      <a:off x="0" y="0"/>
                      <a:ext cx="7205345" cy="31750"/>
                    </a:xfrm>
                    <a:prstGeom prst="rect">
                      <a:avLst/>
                    </a:prstGeom>
                    <a:noFill/>
                  </pic:spPr>
                </pic:pic>
              </a:graphicData>
            </a:graphic>
          </wp:anchor>
        </w:drawing>
        <w:t>Table of Contents</w:t>
      </w:r>
    </w:p>
    <w:p>
      <w:pPr>
        <w:spacing w:after="0" w:line="24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PLAN OF DISTRIBUTION</w:t>
      </w:r>
    </w:p>
    <w:p>
      <w:pPr>
        <w:spacing w:after="0" w:line="177" w:lineRule="exact"/>
        <w:rPr>
          <w:sz w:val="20"/>
          <w:szCs w:val="20"/>
          <w:color w:val="auto"/>
        </w:rPr>
      </w:pPr>
    </w:p>
    <w:p>
      <w:pPr>
        <w:ind w:left="1540" w:right="439" w:firstLine="329"/>
        <w:spacing w:after="0" w:line="278" w:lineRule="auto"/>
        <w:rPr>
          <w:sz w:val="20"/>
          <w:szCs w:val="20"/>
          <w:color w:val="auto"/>
        </w:rPr>
      </w:pPr>
      <w:r>
        <w:rPr>
          <w:rFonts w:ascii="Times New Roman" w:cs="Times New Roman" w:eastAsia="Times New Roman" w:hAnsi="Times New Roman"/>
          <w:sz w:val="13"/>
          <w:szCs w:val="13"/>
          <w:color w:val="auto"/>
        </w:rPr>
        <w:t>Cibus has entered into the Sales Agreement, under which Cibus may offer and sell up to $50,000,000 of Cibus’ Class A Common Stock from time to time through Jefferies acting as agent. Sales of shares of Class A Common Stock, if any, under this prospectus supplement and the accompanying prospectus will be made by any method that is deemed to be an “at the market offering” as defined in Rule 415(a)(4) under the Securities Act.</w:t>
      </w:r>
    </w:p>
    <w:p>
      <w:pPr>
        <w:spacing w:after="0" w:line="125" w:lineRule="exact"/>
        <w:rPr>
          <w:sz w:val="20"/>
          <w:szCs w:val="20"/>
          <w:color w:val="auto"/>
        </w:rPr>
      </w:pPr>
    </w:p>
    <w:p>
      <w:pPr>
        <w:ind w:left="1540" w:right="419" w:firstLine="329"/>
        <w:spacing w:after="0" w:line="266" w:lineRule="auto"/>
        <w:rPr>
          <w:sz w:val="20"/>
          <w:szCs w:val="20"/>
          <w:color w:val="auto"/>
        </w:rPr>
      </w:pPr>
      <w:r>
        <w:rPr>
          <w:rFonts w:ascii="Times New Roman" w:cs="Times New Roman" w:eastAsia="Times New Roman" w:hAnsi="Times New Roman"/>
          <w:sz w:val="13"/>
          <w:szCs w:val="13"/>
          <w:color w:val="auto"/>
        </w:rPr>
        <w:t>Each time Cibus wishes to issue and sell shares of Cibus’ Class A Common Stock under the Sales Agreement, it will notify Jefferies of the number of shares to be issued, the dates on which such sales are anticipated to be made, any limitation on the number of shares to be sold in any one day and any minimum price below which sales may not be made. Once Cibus has so instructed Jefferies, unless Jefferies declines to accept the terms of such notice, Jefferies has agreed to use its commercially reasonable efforts consistent with its normal trading and sales practices to sell such shares up to the amount specified on such terms. The obligations of Jefferies under the Sales Agreement to sell shares of Class A Common Stock are subject to a number of conditions that Cibus must meet.</w:t>
      </w:r>
    </w:p>
    <w:p>
      <w:pPr>
        <w:spacing w:after="0" w:line="135" w:lineRule="exact"/>
        <w:rPr>
          <w:sz w:val="20"/>
          <w:szCs w:val="20"/>
          <w:color w:val="auto"/>
        </w:rPr>
      </w:pPr>
    </w:p>
    <w:p>
      <w:pPr>
        <w:ind w:left="1540" w:right="459" w:firstLine="329"/>
        <w:spacing w:after="0" w:line="271" w:lineRule="auto"/>
        <w:rPr>
          <w:sz w:val="20"/>
          <w:szCs w:val="20"/>
          <w:color w:val="auto"/>
        </w:rPr>
      </w:pPr>
      <w:r>
        <w:rPr>
          <w:rFonts w:ascii="Times New Roman" w:cs="Times New Roman" w:eastAsia="Times New Roman" w:hAnsi="Times New Roman"/>
          <w:sz w:val="13"/>
          <w:szCs w:val="13"/>
          <w:color w:val="auto"/>
        </w:rPr>
        <w:t>The settlement of sales of shares between Cibus and Jefferies is generally anticipated to occur on the first trading day following the date on which the sale was made. Sales of shares of Class A Common Stock as contemplated in this prospectus supplement will be settled through the facilities of The Depository Trust Company or by such other means as Cibus and Jefferies may agree upon. There is no arrangement for funds to be received in an escrow, trust or similar arrangement.</w:t>
      </w:r>
    </w:p>
    <w:p>
      <w:pPr>
        <w:spacing w:after="0" w:line="131" w:lineRule="exact"/>
        <w:rPr>
          <w:sz w:val="20"/>
          <w:szCs w:val="20"/>
          <w:color w:val="auto"/>
        </w:rPr>
      </w:pPr>
    </w:p>
    <w:p>
      <w:pPr>
        <w:ind w:left="1540" w:right="459" w:firstLine="329"/>
        <w:spacing w:after="0" w:line="263" w:lineRule="auto"/>
        <w:rPr>
          <w:sz w:val="20"/>
          <w:szCs w:val="20"/>
          <w:color w:val="auto"/>
        </w:rPr>
      </w:pPr>
      <w:r>
        <w:rPr>
          <w:rFonts w:ascii="Times New Roman" w:cs="Times New Roman" w:eastAsia="Times New Roman" w:hAnsi="Times New Roman"/>
          <w:sz w:val="13"/>
          <w:szCs w:val="13"/>
          <w:color w:val="auto"/>
        </w:rPr>
        <w:t>Cibus will pay Jefferies a commission equal to 3.0% of the aggregate gross proceeds Cibus receives from each sale of shares of Class A Common Stock. Because there is no minimum offering amount required as a condition to close this offering, the actual total public offering amount, commissions and proceeds to the Company, if any, are not determinable at this time. In addition, Cibus has agreed to reimburse Jefferies for the fees and disbursements of its counsel, payable upon execution of the Sales Agreement, in an amount not to exceed $75,000, in addition to certain ongoing disbursements of its legal counsel payable in the amount of up to $25,000 in connection with each diligence bring-down thereafter and up to $40,000 in connection with certain events which may require the filing of a new registration statement, prospectus or prospectus supplement in connection with the Sales Agreement. Cibus estimates that the total initial expenses for the offering, excluding any commissions or expense reimbursement payable to Jefferies under the terms of the Sales Agreement, will be approximately $265,000. The remaining sale proceeds, after deducting any other transaction fees, will equal Cibus’ net proceeds from the sale of such shares.</w:t>
      </w:r>
    </w:p>
    <w:p>
      <w:pPr>
        <w:spacing w:after="0" w:line="138" w:lineRule="exact"/>
        <w:rPr>
          <w:sz w:val="20"/>
          <w:szCs w:val="20"/>
          <w:color w:val="auto"/>
        </w:rPr>
      </w:pPr>
    </w:p>
    <w:p>
      <w:pPr>
        <w:ind w:left="1540" w:right="459" w:firstLine="329"/>
        <w:spacing w:after="0" w:line="278" w:lineRule="auto"/>
        <w:rPr>
          <w:sz w:val="20"/>
          <w:szCs w:val="20"/>
          <w:color w:val="auto"/>
        </w:rPr>
      </w:pPr>
      <w:r>
        <w:rPr>
          <w:rFonts w:ascii="Times New Roman" w:cs="Times New Roman" w:eastAsia="Times New Roman" w:hAnsi="Times New Roman"/>
          <w:sz w:val="13"/>
          <w:szCs w:val="13"/>
          <w:color w:val="auto"/>
        </w:rPr>
        <w:t>Jefferies will provide written confirmation to Cibus before the open on Nasdaq on the day following each day on which shares of Class A Common Stock are sold under the Sales Agreement. Each confirmation will include the number of shares sold on that day, the aggregate gross proceeds of such sales and the proceeds to Cibus.</w:t>
      </w:r>
    </w:p>
    <w:p>
      <w:pPr>
        <w:spacing w:after="0" w:line="125" w:lineRule="exact"/>
        <w:rPr>
          <w:sz w:val="20"/>
          <w:szCs w:val="20"/>
          <w:color w:val="auto"/>
        </w:rPr>
      </w:pPr>
    </w:p>
    <w:p>
      <w:pPr>
        <w:ind w:left="1540" w:right="419" w:firstLine="329"/>
        <w:spacing w:after="0" w:line="271" w:lineRule="auto"/>
        <w:rPr>
          <w:sz w:val="20"/>
          <w:szCs w:val="20"/>
          <w:color w:val="auto"/>
        </w:rPr>
      </w:pPr>
      <w:r>
        <w:rPr>
          <w:rFonts w:ascii="Times New Roman" w:cs="Times New Roman" w:eastAsia="Times New Roman" w:hAnsi="Times New Roman"/>
          <w:sz w:val="13"/>
          <w:szCs w:val="13"/>
          <w:color w:val="auto"/>
        </w:rPr>
        <w:t>In connection with the sale of shares of Class A Common Stock on Cibus’ behalf, Jefferies will be deemed to be an “underwriter” within the meaning of the Securities Act, and the compensation of Jefferies will be deemed to be underwriting commissions or discounts. Cibus has agreed to indemnify Jefferies against certain civil liabilities, including liabilities under the Securities Act. Cibus has also agreed to contribute to payments Jefferies may be required to make in respect of such liabilities.</w:t>
      </w:r>
    </w:p>
    <w:p>
      <w:pPr>
        <w:spacing w:after="0" w:line="131" w:lineRule="exact"/>
        <w:rPr>
          <w:sz w:val="20"/>
          <w:szCs w:val="20"/>
          <w:color w:val="auto"/>
        </w:rPr>
      </w:pPr>
    </w:p>
    <w:p>
      <w:pPr>
        <w:ind w:left="1540" w:right="619" w:firstLine="329"/>
        <w:spacing w:after="0" w:line="297" w:lineRule="auto"/>
        <w:rPr>
          <w:sz w:val="20"/>
          <w:szCs w:val="20"/>
          <w:color w:val="auto"/>
        </w:rPr>
      </w:pPr>
      <w:r>
        <w:rPr>
          <w:rFonts w:ascii="Times New Roman" w:cs="Times New Roman" w:eastAsia="Times New Roman" w:hAnsi="Times New Roman"/>
          <w:sz w:val="13"/>
          <w:szCs w:val="13"/>
          <w:color w:val="auto"/>
        </w:rPr>
        <w:t>The offering of shares of Class A Common Stock pursuant to the Sales Agreement will terminate as permitted therein. Cibus and Jefferies may each terminate the Sales Agreement at any time upon ten days’ prior notice.</w:t>
      </w:r>
    </w:p>
    <w:p>
      <w:pPr>
        <w:spacing w:after="0" w:line="114" w:lineRule="exact"/>
        <w:rPr>
          <w:sz w:val="20"/>
          <w:szCs w:val="20"/>
          <w:color w:val="auto"/>
        </w:rPr>
      </w:pPr>
    </w:p>
    <w:p>
      <w:pPr>
        <w:ind w:left="1540" w:right="519" w:firstLine="329"/>
        <w:spacing w:after="0" w:line="297" w:lineRule="auto"/>
        <w:rPr>
          <w:sz w:val="20"/>
          <w:szCs w:val="20"/>
          <w:color w:val="auto"/>
        </w:rPr>
      </w:pPr>
      <w:r>
        <w:rPr>
          <w:rFonts w:ascii="Times New Roman" w:cs="Times New Roman" w:eastAsia="Times New Roman" w:hAnsi="Times New Roman"/>
          <w:sz w:val="13"/>
          <w:szCs w:val="13"/>
          <w:color w:val="auto"/>
        </w:rPr>
        <w:t>This summary of the material provisions of the Sales Agreement does not purport to be a complete statement of its terms and conditions. A copy of the Sales Agreement is filed as an exhibit to the registration statement of which this prospectus supplement forms a part.</w:t>
      </w:r>
    </w:p>
    <w:p>
      <w:pPr>
        <w:spacing w:after="0" w:line="6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3"/>
          <w:szCs w:val="13"/>
          <w:color w:val="auto"/>
        </w:rPr>
        <w:t>S-16</w:t>
      </w:r>
    </w:p>
    <w:p>
      <w:pPr>
        <w:sectPr>
          <w:pgSz w:w="11900" w:h="16838" w:orient="portrait"/>
          <w:cols w:equalWidth="0" w:num="1">
            <w:col w:w="10159"/>
          </w:cols>
          <w:pgMar w:left="300" w:top="375" w:right="1440"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2">
                      <a:extLst>
                        <a:ext uri="{28A0092B-C50C-407E-A947-70E740481C1C}"/>
                      </a:extLst>
                    </a:blip>
                    <a:srcRect/>
                    <a:stretch>
                      <a:fillRect/>
                    </a:stretch>
                  </pic:blipFill>
                  <pic:spPr bwMode="auto">
                    <a:xfrm>
                      <a:off x="0" y="0"/>
                      <a:ext cx="7205345" cy="31750"/>
                    </a:xfrm>
                    <a:prstGeom prst="rect">
                      <a:avLst/>
                    </a:prstGeom>
                    <a:noFill/>
                  </pic:spPr>
                </pic:pic>
              </a:graphicData>
            </a:graphic>
          </wp:anchor>
        </w:drawing>
        <w:t>Table of Contents</w:t>
      </w:r>
    </w:p>
    <w:p>
      <w:pPr>
        <w:spacing w:after="0" w:line="248" w:lineRule="exact"/>
        <w:rPr>
          <w:sz w:val="20"/>
          <w:szCs w:val="20"/>
          <w:color w:val="auto"/>
        </w:rPr>
      </w:pPr>
    </w:p>
    <w:p>
      <w:pPr>
        <w:ind w:left="1540" w:right="659" w:firstLine="329"/>
        <w:spacing w:after="0" w:line="271" w:lineRule="auto"/>
        <w:rPr>
          <w:sz w:val="20"/>
          <w:szCs w:val="20"/>
          <w:color w:val="auto"/>
        </w:rPr>
      </w:pPr>
      <w:r>
        <w:rPr>
          <w:rFonts w:ascii="Times New Roman" w:cs="Times New Roman" w:eastAsia="Times New Roman" w:hAnsi="Times New Roman"/>
          <w:sz w:val="13"/>
          <w:szCs w:val="13"/>
          <w:color w:val="auto"/>
        </w:rPr>
        <w:t>Jefferies and its affiliates may in the future provide various investment banking, commercial banking, financial advisory and other financial services for Cibus and Cibus’ affiliates, for which services they may in the future receive customary fees. In the course of its business, Jefferies may actively trade Cibus’ securities for its own account or for the accounts of customers, and, accordingly, Jefferies may at any time hold long or short positions in such securities.</w:t>
      </w:r>
    </w:p>
    <w:p>
      <w:pPr>
        <w:spacing w:after="0" w:line="131" w:lineRule="exact"/>
        <w:rPr>
          <w:sz w:val="20"/>
          <w:szCs w:val="20"/>
          <w:color w:val="auto"/>
        </w:rPr>
      </w:pPr>
    </w:p>
    <w:p>
      <w:pPr>
        <w:ind w:left="1540" w:right="559" w:firstLine="329"/>
        <w:spacing w:after="0" w:line="297" w:lineRule="auto"/>
        <w:rPr>
          <w:sz w:val="20"/>
          <w:szCs w:val="20"/>
          <w:color w:val="auto"/>
        </w:rPr>
      </w:pPr>
      <w:r>
        <w:rPr>
          <w:rFonts w:ascii="Times New Roman" w:cs="Times New Roman" w:eastAsia="Times New Roman" w:hAnsi="Times New Roman"/>
          <w:sz w:val="13"/>
          <w:szCs w:val="13"/>
          <w:color w:val="auto"/>
        </w:rPr>
        <w:t>This prospectus supplement and the accompanying prospectus in electronic format may be made available on a website maintained by Jefferies, and Jefferies may distribute this prospectus supplement and the accompanying prospectus electronically.</w:t>
      </w:r>
    </w:p>
    <w:p>
      <w:pPr>
        <w:spacing w:after="0" w:line="6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3"/>
          <w:szCs w:val="13"/>
          <w:color w:val="auto"/>
        </w:rPr>
        <w:t>S-17</w:t>
      </w:r>
    </w:p>
    <w:p>
      <w:pPr>
        <w:sectPr>
          <w:pgSz w:w="11900" w:h="16838" w:orient="portrait"/>
          <w:cols w:equalWidth="0" w:num="1">
            <w:col w:w="10159"/>
          </w:cols>
          <w:pgMar w:left="300" w:top="375" w:right="1440"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3">
                      <a:extLst>
                        <a:ext uri="{28A0092B-C50C-407E-A947-70E740481C1C}"/>
                      </a:extLst>
                    </a:blip>
                    <a:srcRect/>
                    <a:stretch>
                      <a:fillRect/>
                    </a:stretch>
                  </pic:blipFill>
                  <pic:spPr bwMode="auto">
                    <a:xfrm>
                      <a:off x="0" y="0"/>
                      <a:ext cx="7205345" cy="31750"/>
                    </a:xfrm>
                    <a:prstGeom prst="rect">
                      <a:avLst/>
                    </a:prstGeom>
                    <a:noFill/>
                  </pic:spPr>
                </pic:pic>
              </a:graphicData>
            </a:graphic>
          </wp:anchor>
        </w:drawing>
        <w:t>Table of Contents</w:t>
      </w:r>
    </w:p>
    <w:p>
      <w:pPr>
        <w:spacing w:after="0" w:line="244"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3"/>
          <w:szCs w:val="13"/>
          <w:b w:val="1"/>
          <w:bCs w:val="1"/>
          <w:color w:val="auto"/>
        </w:rPr>
        <w:t>CERTAIN U.S. FEDERAL INCOME TAX CONSIDERATIONS FOR NON-U.S. HOLDERS</w:t>
      </w:r>
    </w:p>
    <w:p>
      <w:pPr>
        <w:spacing w:after="0" w:line="177" w:lineRule="exact"/>
        <w:rPr>
          <w:sz w:val="20"/>
          <w:szCs w:val="20"/>
          <w:color w:val="auto"/>
        </w:rPr>
      </w:pPr>
    </w:p>
    <w:p>
      <w:pPr>
        <w:ind w:left="1540" w:right="399" w:firstLine="329"/>
        <w:spacing w:after="0" w:line="263" w:lineRule="auto"/>
        <w:rPr>
          <w:sz w:val="20"/>
          <w:szCs w:val="20"/>
          <w:color w:val="auto"/>
        </w:rPr>
      </w:pPr>
      <w:r>
        <w:rPr>
          <w:rFonts w:ascii="Times New Roman" w:cs="Times New Roman" w:eastAsia="Times New Roman" w:hAnsi="Times New Roman"/>
          <w:sz w:val="13"/>
          <w:szCs w:val="13"/>
          <w:color w:val="auto"/>
        </w:rPr>
        <w:t>Subject to the limitations, assumptions and qualifications described herein, the following is a summary of certain U.S. federal income tax considerations of the purchase, ownership and disposition of Class A Common Stock acquired pursuant to this offering by Non-U.S. Holders (as defined below). Prospective holders of the Class A Common Stock should consult their tax advisors with respect to the U.S. federal, state, local and non-U.S. tax consequences of the purchase, ownership and disposition of the Class A Common Stock. This discussion is based on current provisions of the U.S. Internal Revenue Code of 1986, as amended (the “Code”), existing U.S. Treasury regulations promulgated thereunder, published administrative pronouncements and rulings of the U.S. Internal Revenue Service (the “IRS”), and judicial decisions, all as in effect as of the date of this prospectus supplement. These authorities are subject to change and to differing interpretation, possibly with retroactive effect. Any change or differing interpretation could alter the tax consequences to holders described in this discussion. There can be no assurance that a court or the IRS will not challenge one or more of the tax consequences described herein, and Cibus has not obtained, nor does it intend to obtain, a ruling with respect to the U.S. federal income tax consequences to a holder of the purchase, ownership or disposition of the Class A Common Stock.</w:t>
      </w:r>
    </w:p>
    <w:p>
      <w:pPr>
        <w:spacing w:after="0" w:line="136" w:lineRule="exact"/>
        <w:rPr>
          <w:sz w:val="20"/>
          <w:szCs w:val="20"/>
          <w:color w:val="auto"/>
        </w:rPr>
      </w:pPr>
    </w:p>
    <w:p>
      <w:pPr>
        <w:ind w:left="1540" w:right="399" w:firstLine="329"/>
        <w:spacing w:after="0" w:line="268" w:lineRule="auto"/>
        <w:rPr>
          <w:sz w:val="20"/>
          <w:szCs w:val="20"/>
          <w:color w:val="auto"/>
        </w:rPr>
      </w:pPr>
      <w:r>
        <w:rPr>
          <w:rFonts w:ascii="Times New Roman" w:cs="Times New Roman" w:eastAsia="Times New Roman" w:hAnsi="Times New Roman"/>
          <w:sz w:val="13"/>
          <w:szCs w:val="13"/>
          <w:color w:val="auto"/>
        </w:rPr>
        <w:t>This discussion addresses only those shares of Class A Common Stock that are held as capital assets within the meaning of Section 1221 of the Code (generally, property held for investment) by holders that acquired such Class A Common Stock pursuant to this offering. This discussion does not address all the U.S. federal income tax consequences that may be relevant to particular holders in light of their individual circumstances, nor does it address any alternative minimum, Medicare contribution, estate or gift tax consequences, or any aspects of U.S. state, local or non-U.S. taxes. It does not address holders that are subject to special rules, such as:</w:t>
      </w:r>
    </w:p>
    <w:p>
      <w:pPr>
        <w:spacing w:after="0" w:line="62" w:lineRule="exact"/>
        <w:rPr>
          <w:sz w:val="20"/>
          <w:szCs w:val="20"/>
          <w:color w:val="auto"/>
        </w:rPr>
      </w:pPr>
    </w:p>
    <w:p>
      <w:pPr>
        <w:ind w:left="2260" w:hanging="325"/>
        <w:spacing w:after="0"/>
        <w:tabs>
          <w:tab w:leader="none" w:pos="226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banks, insurance companies or other financial institutions;</w:t>
      </w:r>
    </w:p>
    <w:p>
      <w:pPr>
        <w:spacing w:after="0" w:line="102" w:lineRule="exact"/>
        <w:rPr>
          <w:rFonts w:ascii="Times New Roman" w:cs="Times New Roman" w:eastAsia="Times New Roman" w:hAnsi="Times New Roman"/>
          <w:sz w:val="13"/>
          <w:szCs w:val="13"/>
          <w:color w:val="auto"/>
        </w:rPr>
      </w:pPr>
    </w:p>
    <w:p>
      <w:pPr>
        <w:ind w:left="2260" w:hanging="325"/>
        <w:spacing w:after="0"/>
        <w:tabs>
          <w:tab w:leader="none" w:pos="226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tax-exempt organizations or governmental organizations;</w:t>
      </w:r>
    </w:p>
    <w:p>
      <w:pPr>
        <w:spacing w:after="0" w:line="102" w:lineRule="exact"/>
        <w:rPr>
          <w:rFonts w:ascii="Times New Roman" w:cs="Times New Roman" w:eastAsia="Times New Roman" w:hAnsi="Times New Roman"/>
          <w:sz w:val="13"/>
          <w:szCs w:val="13"/>
          <w:color w:val="auto"/>
        </w:rPr>
      </w:pPr>
    </w:p>
    <w:p>
      <w:pPr>
        <w:ind w:left="2260" w:hanging="325"/>
        <w:spacing w:after="0"/>
        <w:tabs>
          <w:tab w:leader="none" w:pos="226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brokers or dealers in securities;</w:t>
      </w:r>
    </w:p>
    <w:p>
      <w:pPr>
        <w:spacing w:after="0" w:line="102" w:lineRule="exact"/>
        <w:rPr>
          <w:rFonts w:ascii="Times New Roman" w:cs="Times New Roman" w:eastAsia="Times New Roman" w:hAnsi="Times New Roman"/>
          <w:sz w:val="13"/>
          <w:szCs w:val="13"/>
          <w:color w:val="auto"/>
        </w:rPr>
      </w:pPr>
    </w:p>
    <w:p>
      <w:pPr>
        <w:ind w:left="2260" w:hanging="325"/>
        <w:spacing w:after="0"/>
        <w:tabs>
          <w:tab w:leader="none" w:pos="226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traders in securities that elect to use a mark-to-market method of accounting for their securities holdings;</w:t>
      </w:r>
    </w:p>
    <w:p>
      <w:pPr>
        <w:spacing w:after="0" w:line="102" w:lineRule="exact"/>
        <w:rPr>
          <w:rFonts w:ascii="Times New Roman" w:cs="Times New Roman" w:eastAsia="Times New Roman" w:hAnsi="Times New Roman"/>
          <w:sz w:val="13"/>
          <w:szCs w:val="13"/>
          <w:color w:val="auto"/>
        </w:rPr>
      </w:pPr>
    </w:p>
    <w:p>
      <w:pPr>
        <w:ind w:left="2260" w:right="539" w:hanging="325"/>
        <w:spacing w:after="0" w:line="297" w:lineRule="auto"/>
        <w:tabs>
          <w:tab w:leader="none" w:pos="226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persons who hold any of the Class A Common Stock as a position in a hedging transaction, “straddle,” “conversion transaction,” or other risk reduction transaction;</w:t>
      </w:r>
    </w:p>
    <w:p>
      <w:pPr>
        <w:spacing w:after="0" w:line="43" w:lineRule="exact"/>
        <w:rPr>
          <w:rFonts w:ascii="Times New Roman" w:cs="Times New Roman" w:eastAsia="Times New Roman" w:hAnsi="Times New Roman"/>
          <w:sz w:val="13"/>
          <w:szCs w:val="13"/>
          <w:color w:val="auto"/>
        </w:rPr>
      </w:pPr>
    </w:p>
    <w:p>
      <w:pPr>
        <w:ind w:left="2260" w:hanging="325"/>
        <w:spacing w:after="0"/>
        <w:tabs>
          <w:tab w:leader="none" w:pos="226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persons deemed to sell any of the Class A Common Stock under the constructive sale provisions of the Code;</w:t>
      </w:r>
    </w:p>
    <w:p>
      <w:pPr>
        <w:spacing w:after="0" w:line="102" w:lineRule="exact"/>
        <w:rPr>
          <w:rFonts w:ascii="Times New Roman" w:cs="Times New Roman" w:eastAsia="Times New Roman" w:hAnsi="Times New Roman"/>
          <w:sz w:val="13"/>
          <w:szCs w:val="13"/>
          <w:color w:val="auto"/>
        </w:rPr>
      </w:pPr>
    </w:p>
    <w:p>
      <w:pPr>
        <w:ind w:left="2260" w:right="499" w:hanging="325"/>
        <w:spacing w:after="0" w:line="297" w:lineRule="auto"/>
        <w:tabs>
          <w:tab w:leader="none" w:pos="226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entities or arrangements classified as partnerships for U.S. federal income tax purposes or other pass-through entities (or investors in such entities or arrangements);</w:t>
      </w:r>
    </w:p>
    <w:p>
      <w:pPr>
        <w:spacing w:after="0" w:line="43" w:lineRule="exact"/>
        <w:rPr>
          <w:rFonts w:ascii="Times New Roman" w:cs="Times New Roman" w:eastAsia="Times New Roman" w:hAnsi="Times New Roman"/>
          <w:sz w:val="13"/>
          <w:szCs w:val="13"/>
          <w:color w:val="auto"/>
        </w:rPr>
      </w:pPr>
    </w:p>
    <w:p>
      <w:pPr>
        <w:ind w:left="2260" w:hanging="325"/>
        <w:spacing w:after="0"/>
        <w:tabs>
          <w:tab w:leader="none" w:pos="226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regulated investment companies or real estate investment trusts;</w:t>
      </w:r>
    </w:p>
    <w:p>
      <w:pPr>
        <w:spacing w:after="0" w:line="102" w:lineRule="exact"/>
        <w:rPr>
          <w:rFonts w:ascii="Times New Roman" w:cs="Times New Roman" w:eastAsia="Times New Roman" w:hAnsi="Times New Roman"/>
          <w:sz w:val="13"/>
          <w:szCs w:val="13"/>
          <w:color w:val="auto"/>
        </w:rPr>
      </w:pPr>
    </w:p>
    <w:p>
      <w:pPr>
        <w:ind w:left="2260" w:right="739" w:hanging="325"/>
        <w:spacing w:after="0" w:line="297" w:lineRule="auto"/>
        <w:tabs>
          <w:tab w:leader="none" w:pos="226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controlled foreign corporations, passive foreign investment companies or corporations that accumulate earnings to avoid U.S. federal income tax;</w:t>
      </w:r>
    </w:p>
    <w:p>
      <w:pPr>
        <w:spacing w:after="0" w:line="43" w:lineRule="exact"/>
        <w:rPr>
          <w:rFonts w:ascii="Times New Roman" w:cs="Times New Roman" w:eastAsia="Times New Roman" w:hAnsi="Times New Roman"/>
          <w:sz w:val="13"/>
          <w:szCs w:val="13"/>
          <w:color w:val="auto"/>
        </w:rPr>
      </w:pPr>
    </w:p>
    <w:p>
      <w:pPr>
        <w:ind w:left="2260" w:right="479" w:hanging="325"/>
        <w:spacing w:after="0" w:line="297" w:lineRule="auto"/>
        <w:tabs>
          <w:tab w:leader="none" w:pos="226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“qualified foreign pension funds” as defined in Section 897(l)(2) of the Code and entities all of the interests of which are held by qualified foreign pension funds;</w:t>
      </w:r>
    </w:p>
    <w:p>
      <w:pPr>
        <w:spacing w:after="0" w:line="43" w:lineRule="exact"/>
        <w:rPr>
          <w:rFonts w:ascii="Times New Roman" w:cs="Times New Roman" w:eastAsia="Times New Roman" w:hAnsi="Times New Roman"/>
          <w:sz w:val="13"/>
          <w:szCs w:val="13"/>
          <w:color w:val="auto"/>
        </w:rPr>
      </w:pPr>
    </w:p>
    <w:p>
      <w:pPr>
        <w:ind w:left="2260" w:hanging="325"/>
        <w:spacing w:after="0"/>
        <w:tabs>
          <w:tab w:leader="none" w:pos="226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U.S. expatriates and former citizens or former long-term residents of the United States; or</w:t>
      </w:r>
    </w:p>
    <w:p>
      <w:pPr>
        <w:spacing w:after="0" w:line="102" w:lineRule="exact"/>
        <w:rPr>
          <w:rFonts w:ascii="Times New Roman" w:cs="Times New Roman" w:eastAsia="Times New Roman" w:hAnsi="Times New Roman"/>
          <w:sz w:val="13"/>
          <w:szCs w:val="13"/>
          <w:color w:val="auto"/>
        </w:rPr>
      </w:pPr>
    </w:p>
    <w:p>
      <w:pPr>
        <w:ind w:left="2260" w:right="419" w:hanging="325"/>
        <w:spacing w:after="0" w:line="297" w:lineRule="auto"/>
        <w:tabs>
          <w:tab w:leader="none" w:pos="226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holders that acquire the Class A Common Stock through the exercise of an employee stock option or otherwise as compensation or through a tax-qualified retirement plan.</w:t>
      </w:r>
    </w:p>
    <w:p>
      <w:pPr>
        <w:spacing w:after="0" w:line="114" w:lineRule="exact"/>
        <w:rPr>
          <w:sz w:val="20"/>
          <w:szCs w:val="20"/>
          <w:color w:val="auto"/>
        </w:rPr>
      </w:pPr>
    </w:p>
    <w:p>
      <w:pPr>
        <w:ind w:left="1540" w:right="419" w:firstLine="329"/>
        <w:spacing w:after="0" w:line="278" w:lineRule="auto"/>
        <w:rPr>
          <w:sz w:val="20"/>
          <w:szCs w:val="20"/>
          <w:color w:val="auto"/>
        </w:rPr>
      </w:pPr>
      <w:r>
        <w:rPr>
          <w:rFonts w:ascii="Times New Roman" w:cs="Times New Roman" w:eastAsia="Times New Roman" w:hAnsi="Times New Roman"/>
          <w:sz w:val="13"/>
          <w:szCs w:val="13"/>
          <w:color w:val="auto"/>
        </w:rPr>
        <w:t>If a holder is a partnership or other pass-through entity (including an entity or arrangement treated as a partnership or other type of pass-through entity for U.S. federal income tax purposes), the U.S. federal income tax treatment of a partner or beneficial owner will generally depend on the status of such partner or beneficial</w:t>
      </w:r>
    </w:p>
    <w:p>
      <w:pPr>
        <w:spacing w:after="0" w:line="75"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3"/>
          <w:szCs w:val="13"/>
          <w:color w:val="auto"/>
        </w:rPr>
        <w:t>S-18</w:t>
      </w:r>
    </w:p>
    <w:p>
      <w:pPr>
        <w:sectPr>
          <w:pgSz w:w="11900" w:h="16838" w:orient="portrait"/>
          <w:cols w:equalWidth="0" w:num="1">
            <w:col w:w="10159"/>
          </w:cols>
          <w:pgMar w:left="300" w:top="375" w:right="1440"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4">
                      <a:extLst>
                        <a:ext uri="{28A0092B-C50C-407E-A947-70E740481C1C}"/>
                      </a:extLst>
                    </a:blip>
                    <a:srcRect/>
                    <a:stretch>
                      <a:fillRect/>
                    </a:stretch>
                  </pic:blipFill>
                  <pic:spPr bwMode="auto">
                    <a:xfrm>
                      <a:off x="0" y="0"/>
                      <a:ext cx="7205345" cy="31750"/>
                    </a:xfrm>
                    <a:prstGeom prst="rect">
                      <a:avLst/>
                    </a:prstGeom>
                    <a:noFill/>
                  </pic:spPr>
                </pic:pic>
              </a:graphicData>
            </a:graphic>
          </wp:anchor>
        </w:drawing>
        <w:t>Table of Contents</w:t>
      </w:r>
    </w:p>
    <w:p>
      <w:pPr>
        <w:spacing w:after="0" w:line="248" w:lineRule="exact"/>
        <w:rPr>
          <w:sz w:val="20"/>
          <w:szCs w:val="20"/>
          <w:color w:val="auto"/>
        </w:rPr>
      </w:pPr>
    </w:p>
    <w:p>
      <w:pPr>
        <w:jc w:val="both"/>
        <w:ind w:left="1540" w:right="679"/>
        <w:spacing w:after="0" w:line="278" w:lineRule="auto"/>
        <w:rPr>
          <w:sz w:val="20"/>
          <w:szCs w:val="20"/>
          <w:color w:val="auto"/>
        </w:rPr>
      </w:pPr>
      <w:r>
        <w:rPr>
          <w:rFonts w:ascii="Times New Roman" w:cs="Times New Roman" w:eastAsia="Times New Roman" w:hAnsi="Times New Roman"/>
          <w:sz w:val="13"/>
          <w:szCs w:val="13"/>
          <w:color w:val="auto"/>
        </w:rPr>
        <w:t>owner and the entity’s activities. Partnerships, partners and beneficial owners in partnerships or other pass-through entities should consult their tax advisors as to the particular U.S. federal income tax considerations applicable to the acquisition, ownership and disposition of the Class A Common Stock.</w:t>
      </w:r>
    </w:p>
    <w:p>
      <w:pPr>
        <w:spacing w:after="0" w:line="125" w:lineRule="exact"/>
        <w:rPr>
          <w:sz w:val="20"/>
          <w:szCs w:val="20"/>
          <w:color w:val="auto"/>
        </w:rPr>
      </w:pPr>
    </w:p>
    <w:p>
      <w:pPr>
        <w:ind w:left="1540" w:right="439" w:firstLine="329"/>
        <w:spacing w:after="0" w:line="297" w:lineRule="auto"/>
        <w:rPr>
          <w:sz w:val="20"/>
          <w:szCs w:val="20"/>
          <w:color w:val="auto"/>
        </w:rPr>
      </w:pPr>
      <w:r>
        <w:rPr>
          <w:rFonts w:ascii="Times New Roman" w:cs="Times New Roman" w:eastAsia="Times New Roman" w:hAnsi="Times New Roman"/>
          <w:sz w:val="13"/>
          <w:szCs w:val="13"/>
          <w:color w:val="auto"/>
        </w:rPr>
        <w:t>For purposes of this discussion, a “U.S. person” is a beneficial owner of the Class A Common Stock, that, for U.S. federal income tax purposes is, or is treated as:</w:t>
      </w:r>
    </w:p>
    <w:p>
      <w:pPr>
        <w:spacing w:after="0" w:line="43" w:lineRule="exact"/>
        <w:rPr>
          <w:sz w:val="20"/>
          <w:szCs w:val="20"/>
          <w:color w:val="auto"/>
        </w:rPr>
      </w:pPr>
    </w:p>
    <w:p>
      <w:pPr>
        <w:ind w:left="2260" w:hanging="325"/>
        <w:spacing w:after="0"/>
        <w:tabs>
          <w:tab w:leader="none" w:pos="2260"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 individual that is a citizen or resident of the United States;</w:t>
      </w:r>
    </w:p>
    <w:p>
      <w:pPr>
        <w:spacing w:after="0" w:line="102" w:lineRule="exact"/>
        <w:rPr>
          <w:rFonts w:ascii="Times New Roman" w:cs="Times New Roman" w:eastAsia="Times New Roman" w:hAnsi="Times New Roman"/>
          <w:sz w:val="13"/>
          <w:szCs w:val="13"/>
          <w:color w:val="auto"/>
        </w:rPr>
      </w:pPr>
    </w:p>
    <w:p>
      <w:pPr>
        <w:ind w:left="2260" w:right="559" w:hanging="325"/>
        <w:spacing w:after="0" w:line="297" w:lineRule="auto"/>
        <w:tabs>
          <w:tab w:leader="none" w:pos="2260"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corporation, or an entity treated as a corporation, created or organized in or under the laws of the United States, any state thereof or the District of Columbia;</w:t>
      </w:r>
    </w:p>
    <w:p>
      <w:pPr>
        <w:spacing w:after="0" w:line="43" w:lineRule="exact"/>
        <w:rPr>
          <w:rFonts w:ascii="Times New Roman" w:cs="Times New Roman" w:eastAsia="Times New Roman" w:hAnsi="Times New Roman"/>
          <w:sz w:val="13"/>
          <w:szCs w:val="13"/>
          <w:color w:val="auto"/>
        </w:rPr>
      </w:pPr>
    </w:p>
    <w:p>
      <w:pPr>
        <w:jc w:val="both"/>
        <w:ind w:left="2260" w:right="579" w:hanging="325"/>
        <w:spacing w:after="0" w:line="278" w:lineRule="auto"/>
        <w:tabs>
          <w:tab w:leader="none" w:pos="2260"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trust that (1) is subject to (A) the primary supervision of a court within the United States and (B) the authority of one or more “United States persons” (within the meaning of Section 7701(a)(30) of the Code) to control all substantial decisions of the trust or (2) has a valid election in effect under applicable U.S. Treasury regulations to be treated as a United States person; or</w:t>
      </w:r>
    </w:p>
    <w:p>
      <w:pPr>
        <w:spacing w:after="0" w:line="54" w:lineRule="exact"/>
        <w:rPr>
          <w:rFonts w:ascii="Times New Roman" w:cs="Times New Roman" w:eastAsia="Times New Roman" w:hAnsi="Times New Roman"/>
          <w:sz w:val="13"/>
          <w:szCs w:val="13"/>
          <w:color w:val="auto"/>
        </w:rPr>
      </w:pPr>
    </w:p>
    <w:p>
      <w:pPr>
        <w:ind w:left="2260" w:hanging="325"/>
        <w:spacing w:after="0"/>
        <w:tabs>
          <w:tab w:leader="none" w:pos="2260"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 estate that is subject to U.S. federal income tax on its income regardless of its source.</w:t>
      </w:r>
    </w:p>
    <w:p>
      <w:pPr>
        <w:spacing w:after="0" w:line="173" w:lineRule="exact"/>
        <w:rPr>
          <w:sz w:val="20"/>
          <w:szCs w:val="20"/>
          <w:color w:val="auto"/>
        </w:rPr>
      </w:pPr>
    </w:p>
    <w:p>
      <w:pPr>
        <w:ind w:left="1540" w:right="639" w:firstLine="329"/>
        <w:spacing w:after="0" w:line="297" w:lineRule="auto"/>
        <w:rPr>
          <w:sz w:val="20"/>
          <w:szCs w:val="20"/>
          <w:color w:val="auto"/>
        </w:rPr>
      </w:pPr>
      <w:r>
        <w:rPr>
          <w:rFonts w:ascii="Times New Roman" w:cs="Times New Roman" w:eastAsia="Times New Roman" w:hAnsi="Times New Roman"/>
          <w:sz w:val="13"/>
          <w:szCs w:val="13"/>
          <w:color w:val="auto"/>
        </w:rPr>
        <w:t>As used herein, the term “Non-U.S. Holder” means a beneficial owner, other than an entity treated as a partnership for U.S. federal income tax purposes, of the Class A Common Stock that is, for U.S. federal income tax purposes, not a U.S. person.</w:t>
      </w:r>
    </w:p>
    <w:p>
      <w:pPr>
        <w:spacing w:after="0" w:line="110" w:lineRule="exact"/>
        <w:rPr>
          <w:sz w:val="20"/>
          <w:szCs w:val="20"/>
          <w:color w:val="auto"/>
        </w:rPr>
      </w:pPr>
    </w:p>
    <w:p>
      <w:pPr>
        <w:ind w:left="1540" w:right="499" w:firstLine="329"/>
        <w:spacing w:after="0" w:line="281" w:lineRule="auto"/>
        <w:rPr>
          <w:sz w:val="20"/>
          <w:szCs w:val="20"/>
          <w:color w:val="auto"/>
        </w:rPr>
      </w:pPr>
      <w:r>
        <w:rPr>
          <w:rFonts w:ascii="Times New Roman" w:cs="Times New Roman" w:eastAsia="Times New Roman" w:hAnsi="Times New Roman"/>
          <w:sz w:val="13"/>
          <w:szCs w:val="13"/>
          <w:b w:val="1"/>
          <w:bCs w:val="1"/>
          <w:color w:val="auto"/>
        </w:rPr>
        <w:t>PROSPECTIVE INVESTORS ARE URGED TO CONSULT THEIR TAX ADVISORS REGARDING THE PARTICULAR FEDERAL, STATE, LOCAL AND NON-U.S. TAX CONSEQUENCES TO THEM OF THE PURCHASE, OWNERSHIP AND DISPOSITION OF THE CLASS A COMMON STOCK.</w:t>
      </w:r>
    </w:p>
    <w:p>
      <w:pPr>
        <w:spacing w:after="0" w:line="201"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3"/>
          <w:szCs w:val="13"/>
          <w:b w:val="1"/>
          <w:bCs w:val="1"/>
          <w:i w:val="1"/>
          <w:iCs w:val="1"/>
          <w:color w:val="auto"/>
        </w:rPr>
        <w:t>Distributions on the Class A Common Stock</w:t>
      </w:r>
    </w:p>
    <w:p>
      <w:pPr>
        <w:spacing w:after="0" w:line="96" w:lineRule="exact"/>
        <w:rPr>
          <w:sz w:val="20"/>
          <w:szCs w:val="20"/>
          <w:color w:val="auto"/>
        </w:rPr>
      </w:pPr>
    </w:p>
    <w:p>
      <w:pPr>
        <w:ind w:left="1540" w:right="459" w:firstLine="329"/>
        <w:spacing w:after="0" w:line="266" w:lineRule="auto"/>
        <w:rPr>
          <w:sz w:val="20"/>
          <w:szCs w:val="20"/>
          <w:color w:val="auto"/>
        </w:rPr>
      </w:pPr>
      <w:r>
        <w:rPr>
          <w:rFonts w:ascii="Times New Roman" w:cs="Times New Roman" w:eastAsia="Times New Roman" w:hAnsi="Times New Roman"/>
          <w:sz w:val="13"/>
          <w:szCs w:val="13"/>
          <w:color w:val="auto"/>
        </w:rPr>
        <w:t>Cibus does not anticipate declaring or paying any cash dividends to holders of Cibus’ Class A Common Stock in the foreseeable future. However, distributions of cash or other property (other than certain distributions of stock) on the Class A Common Stock will constitute dividends to the extent paid out of Cibus’ current or accumulated earnings and profits, as determined for U.S. federal income tax purposes. Distributions in excess of Cibus’ current and accumulated earnings and profits will constitute a return of capital and first be applied against and reduce a Non-U.S. Holder’s adjusted tax basis in its Class A Common Stock, but not below zero. Any excess will be subject to the treatment as described below under “— Gain on the Sale, Exchange or Other Taxable Disposition of the Class A Common Stock.”</w:t>
      </w:r>
    </w:p>
    <w:p>
      <w:pPr>
        <w:spacing w:after="0" w:line="135" w:lineRule="exact"/>
        <w:rPr>
          <w:sz w:val="20"/>
          <w:szCs w:val="20"/>
          <w:color w:val="auto"/>
        </w:rPr>
      </w:pPr>
    </w:p>
    <w:p>
      <w:pPr>
        <w:ind w:left="1540" w:right="419" w:firstLine="329"/>
        <w:spacing w:after="0" w:line="263" w:lineRule="auto"/>
        <w:rPr>
          <w:sz w:val="20"/>
          <w:szCs w:val="20"/>
          <w:color w:val="auto"/>
        </w:rPr>
      </w:pPr>
      <w:r>
        <w:rPr>
          <w:rFonts w:ascii="Times New Roman" w:cs="Times New Roman" w:eastAsia="Times New Roman" w:hAnsi="Times New Roman"/>
          <w:sz w:val="13"/>
          <w:szCs w:val="13"/>
          <w:color w:val="auto"/>
        </w:rPr>
        <w:t>Dividends paid to a Non-U.S. Holder that are not effectively connected with the Non-U.S. Holder’s conduct of a trade or business in the United States generally will be subject to withholding tax at a 30-percent rate or a reduced rate specified by an applicable income tax treaty. In order to obtain a reduced rate of withholding, the Non-U.S. Holder will be required to provide Cibus or Cibus’ paying agent with a properly executed applicable IRS Form W-8BEN or IRS Form W-8BEN-E (or appropriate successor form), as applicable, certifying under penalties of perjury that the Non-U.S. Holder is not a U.S. person and is eligible for the benefits under the applicable income tax treaty. These forms may need to be periodically updated. If a Non-U.S. Holder holds the Class A Common Stock through a financial institution or other intermediary, the Non-U.S. Holder generally will be required to provide the appropriate documentation to the financial institution or other intermediary. A Non-U.S. Holder eligible for a reduced rate of U.S. withholding tax pursuant to an income tax treaty who fails to timely provide an IRS Form W-8BEN or W-8BEN-E (or appropriate successor form), as applicable, may obtain a refund of any excess amounts withheld by timely filing an appropriate claim with the IRS.</w:t>
      </w:r>
    </w:p>
    <w:p>
      <w:pPr>
        <w:spacing w:after="0" w:line="138" w:lineRule="exact"/>
        <w:rPr>
          <w:sz w:val="20"/>
          <w:szCs w:val="20"/>
          <w:color w:val="auto"/>
        </w:rPr>
      </w:pPr>
    </w:p>
    <w:p>
      <w:pPr>
        <w:ind w:left="1540" w:right="579" w:firstLine="329"/>
        <w:spacing w:after="0" w:line="297" w:lineRule="auto"/>
        <w:rPr>
          <w:sz w:val="20"/>
          <w:szCs w:val="20"/>
          <w:color w:val="auto"/>
        </w:rPr>
      </w:pPr>
      <w:r>
        <w:rPr>
          <w:rFonts w:ascii="Times New Roman" w:cs="Times New Roman" w:eastAsia="Times New Roman" w:hAnsi="Times New Roman"/>
          <w:sz w:val="13"/>
          <w:szCs w:val="13"/>
          <w:color w:val="auto"/>
        </w:rPr>
        <w:t>If dividends paid to a Non-U.S. Holder are effectively connected with the Non-U.S. Holder’s conduct of a trade or business in the United States (and, if required by an applicable income tax treaty, are attributable to a</w:t>
      </w:r>
    </w:p>
    <w:p>
      <w:pPr>
        <w:spacing w:after="0" w:line="6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3"/>
          <w:szCs w:val="13"/>
          <w:color w:val="auto"/>
        </w:rPr>
        <w:t>S-19</w:t>
      </w:r>
    </w:p>
    <w:p>
      <w:pPr>
        <w:sectPr>
          <w:pgSz w:w="11900" w:h="16838" w:orient="portrait"/>
          <w:cols w:equalWidth="0" w:num="1">
            <w:col w:w="10159"/>
          </w:cols>
          <w:pgMar w:left="300" w:top="375" w:right="1440"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5">
                      <a:extLst>
                        <a:ext uri="{28A0092B-C50C-407E-A947-70E740481C1C}"/>
                      </a:extLst>
                    </a:blip>
                    <a:srcRect/>
                    <a:stretch>
                      <a:fillRect/>
                    </a:stretch>
                  </pic:blipFill>
                  <pic:spPr bwMode="auto">
                    <a:xfrm>
                      <a:off x="0" y="0"/>
                      <a:ext cx="7205345" cy="31750"/>
                    </a:xfrm>
                    <a:prstGeom prst="rect">
                      <a:avLst/>
                    </a:prstGeom>
                    <a:noFill/>
                  </pic:spPr>
                </pic:pic>
              </a:graphicData>
            </a:graphic>
          </wp:anchor>
        </w:drawing>
        <w:t>Table of Contents</w:t>
      </w:r>
    </w:p>
    <w:p>
      <w:pPr>
        <w:spacing w:after="0" w:line="248" w:lineRule="exact"/>
        <w:rPr>
          <w:sz w:val="20"/>
          <w:szCs w:val="20"/>
          <w:color w:val="auto"/>
        </w:rPr>
      </w:pPr>
    </w:p>
    <w:p>
      <w:pPr>
        <w:ind w:left="1540" w:right="419"/>
        <w:spacing w:after="0" w:line="263" w:lineRule="auto"/>
        <w:rPr>
          <w:sz w:val="20"/>
          <w:szCs w:val="20"/>
          <w:color w:val="auto"/>
        </w:rPr>
      </w:pPr>
      <w:r>
        <w:rPr>
          <w:rFonts w:ascii="Times New Roman" w:cs="Times New Roman" w:eastAsia="Times New Roman" w:hAnsi="Times New Roman"/>
          <w:sz w:val="13"/>
          <w:szCs w:val="13"/>
          <w:color w:val="auto"/>
        </w:rPr>
        <w:t>permanent establishment or fixed base maintained by the Non-U.S. Holder in the United States), the Non-U.S. Holder will generally be taxed on the dividends in the same manner as a U.S. person. In this case, the Non-U.S. Holder will be exempt from the withholding tax discussed in the preceding paragraph, although the Non-U.S. Holder will be required to provide a properly executed IRS Form W-8ECI (or appropriate successor form) in order to claim an exemption from withholding. Such effectively connected dividends, although not subject to U.S. federal withholding tax, are subject to U.S. federal income tax on a net income basis at the regular graduated U.S. federal income tax rates generally applicable to a U.S. person. Dividends received by a corporate Non-U.S. Holder that are effectively connected with such Non-U.S. Holder’s conduct of a trade or business in the United States (and, if required by an applicable income tax treaty, attributable to a permanent establishment or fixed base maintained by the Non-U.S. Holder in the United States) may be subject to an additional branch profits tax at a 30-percent rate (or such lower rate as may be specified by an applicable income tax treaty). Non-U.S. Holders should consult their tax advisors with respect to other U.S. tax consequences of the acquisition, ownership and disposition of the Class A Common Stock, including the possible imposition of the branch profits tax.</w:t>
      </w:r>
    </w:p>
    <w:p>
      <w:pPr>
        <w:spacing w:after="0" w:line="212"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3"/>
          <w:szCs w:val="13"/>
          <w:b w:val="1"/>
          <w:bCs w:val="1"/>
          <w:i w:val="1"/>
          <w:iCs w:val="1"/>
          <w:color w:val="auto"/>
        </w:rPr>
        <w:t>Gain on the Sale, Exchange or Other Taxable Disposition of the Class A Common Stock</w:t>
      </w:r>
    </w:p>
    <w:p>
      <w:pPr>
        <w:spacing w:after="0" w:line="96" w:lineRule="exact"/>
        <w:rPr>
          <w:sz w:val="20"/>
          <w:szCs w:val="20"/>
          <w:color w:val="auto"/>
        </w:rPr>
      </w:pPr>
    </w:p>
    <w:p>
      <w:pPr>
        <w:jc w:val="both"/>
        <w:ind w:left="1540" w:right="479" w:firstLine="329"/>
        <w:spacing w:after="0" w:line="291" w:lineRule="auto"/>
        <w:rPr>
          <w:sz w:val="20"/>
          <w:szCs w:val="20"/>
          <w:color w:val="auto"/>
        </w:rPr>
      </w:pPr>
      <w:r>
        <w:rPr>
          <w:rFonts w:ascii="Times New Roman" w:cs="Times New Roman" w:eastAsia="Times New Roman" w:hAnsi="Times New Roman"/>
          <w:sz w:val="13"/>
          <w:szCs w:val="13"/>
          <w:color w:val="auto"/>
        </w:rPr>
        <w:t>Subject to the discussions below under “—Information Reporting and Backup Withholding” and “—FATCA,” a Non-U.S. Holder generally will not be subject to U.S. federal income or withholding tax on gain realized on a sale, exchange or other taxable disposition of the Class A Common Stock unless:</w:t>
      </w:r>
    </w:p>
    <w:p>
      <w:pPr>
        <w:spacing w:after="0" w:line="212" w:lineRule="exact"/>
        <w:rPr>
          <w:sz w:val="20"/>
          <w:szCs w:val="20"/>
          <w:color w:val="auto"/>
        </w:rPr>
      </w:pPr>
    </w:p>
    <w:p>
      <w:pPr>
        <w:ind w:left="2260" w:right="579" w:hanging="325"/>
        <w:spacing w:after="0" w:line="278" w:lineRule="auto"/>
        <w:tabs>
          <w:tab w:leader="none" w:pos="226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gain is effectively connected with the Non-U.S. Holder’s conduct of a trade or business in the United States (and, if required by an applicable income tax treaty, is attributable to a permanent establishment or fixed base maintained by the Non-U.S. Holder in the United States),</w:t>
      </w:r>
    </w:p>
    <w:p>
      <w:pPr>
        <w:spacing w:after="0" w:line="54" w:lineRule="exact"/>
        <w:rPr>
          <w:rFonts w:ascii="Times New Roman" w:cs="Times New Roman" w:eastAsia="Times New Roman" w:hAnsi="Times New Roman"/>
          <w:sz w:val="13"/>
          <w:szCs w:val="13"/>
          <w:color w:val="auto"/>
        </w:rPr>
      </w:pPr>
    </w:p>
    <w:p>
      <w:pPr>
        <w:ind w:left="2260" w:right="759" w:hanging="325"/>
        <w:spacing w:after="0" w:line="297" w:lineRule="auto"/>
        <w:tabs>
          <w:tab w:leader="none" w:pos="226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Non-U.S. Holder is a nonresident alien individual present in the United States for 183 days or more during the taxable year of the disposition and certain other requirements are met; or</w:t>
      </w:r>
    </w:p>
    <w:p>
      <w:pPr>
        <w:spacing w:after="0" w:line="43" w:lineRule="exact"/>
        <w:rPr>
          <w:rFonts w:ascii="Times New Roman" w:cs="Times New Roman" w:eastAsia="Times New Roman" w:hAnsi="Times New Roman"/>
          <w:sz w:val="13"/>
          <w:szCs w:val="13"/>
          <w:color w:val="auto"/>
        </w:rPr>
      </w:pPr>
    </w:p>
    <w:p>
      <w:pPr>
        <w:jc w:val="both"/>
        <w:ind w:left="2260" w:right="639" w:hanging="325"/>
        <w:spacing w:after="0" w:line="278" w:lineRule="auto"/>
        <w:tabs>
          <w:tab w:leader="none" w:pos="226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Cibus is or has been a “United States real property holding corporation,” as defined in the Code, at any time within the five-year period ending on the date of disposition or the Non-U.S. Holder’s holding period, whichever period is shorter, and the Non-U.S. Holder is not eligible for an exemption under an applicable income tax treaty.</w:t>
      </w:r>
    </w:p>
    <w:p>
      <w:pPr>
        <w:spacing w:after="0" w:line="125" w:lineRule="exact"/>
        <w:rPr>
          <w:sz w:val="20"/>
          <w:szCs w:val="20"/>
          <w:color w:val="auto"/>
        </w:rPr>
      </w:pPr>
    </w:p>
    <w:p>
      <w:pPr>
        <w:jc w:val="both"/>
        <w:ind w:left="1540" w:right="579" w:firstLine="329"/>
        <w:spacing w:after="0" w:line="265" w:lineRule="auto"/>
        <w:rPr>
          <w:sz w:val="20"/>
          <w:szCs w:val="20"/>
          <w:color w:val="auto"/>
        </w:rPr>
      </w:pPr>
      <w:r>
        <w:rPr>
          <w:rFonts w:ascii="Times New Roman" w:cs="Times New Roman" w:eastAsia="Times New Roman" w:hAnsi="Times New Roman"/>
          <w:sz w:val="13"/>
          <w:szCs w:val="13"/>
          <w:color w:val="auto"/>
        </w:rPr>
        <w:t>Cibus believes that it is not, and does not anticipate becoming, a United States real property holding corporation. Even if Cibus is or has been a United States real property holding corporation during the specified testing period, as long as Cibus’ Class A Common Stock is regularly traded on an established securities market (such as the Nasdaq Capital Market) at any time during the calendar year in which the disposition occurs, a Non-U.S.</w:t>
      </w:r>
    </w:p>
    <w:p>
      <w:pPr>
        <w:spacing w:after="0" w:line="1" w:lineRule="exact"/>
        <w:rPr>
          <w:sz w:val="20"/>
          <w:szCs w:val="20"/>
          <w:color w:val="auto"/>
        </w:rPr>
      </w:pPr>
    </w:p>
    <w:p>
      <w:pPr>
        <w:ind w:left="1540" w:right="559"/>
        <w:spacing w:after="0" w:line="265" w:lineRule="auto"/>
        <w:rPr>
          <w:sz w:val="20"/>
          <w:szCs w:val="20"/>
          <w:color w:val="auto"/>
        </w:rPr>
      </w:pPr>
      <w:r>
        <w:rPr>
          <w:rFonts w:ascii="Times New Roman" w:cs="Times New Roman" w:eastAsia="Times New Roman" w:hAnsi="Times New Roman"/>
          <w:sz w:val="13"/>
          <w:szCs w:val="13"/>
          <w:color w:val="auto"/>
        </w:rPr>
        <w:t>Holder will not be subject to U.S. federal income tax on the disposition of the Class A Common Stock if the Non-U.S. Holder does not own or has not owned (actually or constructively) more than 5 percent of Cibus’ Class A Common Stock at any time during the shorter of the two periods mentioned above. Non-U.S. Holders are urged to consult their tax advisors regarding the application of this regularly traded exception, including the effect of holding warrants or other rights to acquire Class A Common Stock on the calculation of the 5-percent threshold.</w:t>
      </w:r>
    </w:p>
    <w:p>
      <w:pPr>
        <w:spacing w:after="0" w:line="134" w:lineRule="exact"/>
        <w:rPr>
          <w:sz w:val="20"/>
          <w:szCs w:val="20"/>
          <w:color w:val="auto"/>
        </w:rPr>
      </w:pPr>
    </w:p>
    <w:p>
      <w:pPr>
        <w:ind w:left="1540" w:right="419" w:firstLine="329"/>
        <w:spacing w:after="0" w:line="271" w:lineRule="auto"/>
        <w:rPr>
          <w:sz w:val="20"/>
          <w:szCs w:val="20"/>
          <w:color w:val="auto"/>
        </w:rPr>
      </w:pPr>
      <w:r>
        <w:rPr>
          <w:rFonts w:ascii="Times New Roman" w:cs="Times New Roman" w:eastAsia="Times New Roman" w:hAnsi="Times New Roman"/>
          <w:sz w:val="13"/>
          <w:szCs w:val="13"/>
          <w:color w:val="auto"/>
        </w:rPr>
        <w:t>In addition, although a 15% withholding tax generally applies to gross proceeds from the sale, exchange or other taxable disposition of the stock of a United States real property holding company, such 15% withholding tax generally will not apply to the disposition of the Class A Common Stock so long as Cibus’ Class A Common Stock is regularly traded on an established securities market. However, the exception described in the previous sentence may not apply to certain dispositions of the Class A Common Stock if the Non-U.S. Holder exceeds the 5-percent threshold mentioned above.</w:t>
      </w:r>
    </w:p>
    <w:p>
      <w:pPr>
        <w:spacing w:after="0" w:line="131" w:lineRule="exact"/>
        <w:rPr>
          <w:sz w:val="20"/>
          <w:szCs w:val="20"/>
          <w:color w:val="auto"/>
        </w:rPr>
      </w:pPr>
    </w:p>
    <w:p>
      <w:pPr>
        <w:ind w:left="1540" w:right="499" w:firstLine="329"/>
        <w:spacing w:after="0" w:line="297" w:lineRule="auto"/>
        <w:rPr>
          <w:sz w:val="20"/>
          <w:szCs w:val="20"/>
          <w:color w:val="auto"/>
        </w:rPr>
      </w:pPr>
      <w:r>
        <w:rPr>
          <w:rFonts w:ascii="Times New Roman" w:cs="Times New Roman" w:eastAsia="Times New Roman" w:hAnsi="Times New Roman"/>
          <w:sz w:val="13"/>
          <w:szCs w:val="13"/>
          <w:color w:val="auto"/>
        </w:rPr>
        <w:t>If a Non-U.S. Holder recognizes gain on a sale, exchange or other taxable disposition of the Class A Common Stock that is effectively connected with the Non-U.S. Holder’s conduct of a trade or business in the</w:t>
      </w:r>
    </w:p>
    <w:p>
      <w:pPr>
        <w:spacing w:after="0" w:line="6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3"/>
          <w:szCs w:val="13"/>
          <w:color w:val="auto"/>
        </w:rPr>
        <w:t>S-20</w:t>
      </w:r>
    </w:p>
    <w:p>
      <w:pPr>
        <w:sectPr>
          <w:pgSz w:w="11900" w:h="16838" w:orient="portrait"/>
          <w:cols w:equalWidth="0" w:num="1">
            <w:col w:w="10159"/>
          </w:cols>
          <w:pgMar w:left="300" w:top="375" w:right="1440"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6">
                      <a:extLst>
                        <a:ext uri="{28A0092B-C50C-407E-A947-70E740481C1C}"/>
                      </a:extLst>
                    </a:blip>
                    <a:srcRect/>
                    <a:stretch>
                      <a:fillRect/>
                    </a:stretch>
                  </pic:blipFill>
                  <pic:spPr bwMode="auto">
                    <a:xfrm>
                      <a:off x="0" y="0"/>
                      <a:ext cx="7205345" cy="31750"/>
                    </a:xfrm>
                    <a:prstGeom prst="rect">
                      <a:avLst/>
                    </a:prstGeom>
                    <a:noFill/>
                  </pic:spPr>
                </pic:pic>
              </a:graphicData>
            </a:graphic>
          </wp:anchor>
        </w:drawing>
        <w:t>Table of Contents</w:t>
      </w:r>
    </w:p>
    <w:p>
      <w:pPr>
        <w:spacing w:after="0" w:line="248" w:lineRule="exact"/>
        <w:rPr>
          <w:sz w:val="20"/>
          <w:szCs w:val="20"/>
          <w:color w:val="auto"/>
        </w:rPr>
      </w:pPr>
    </w:p>
    <w:p>
      <w:pPr>
        <w:ind w:left="1540" w:right="459"/>
        <w:spacing w:after="0" w:line="266" w:lineRule="auto"/>
        <w:rPr>
          <w:sz w:val="20"/>
          <w:szCs w:val="20"/>
          <w:color w:val="auto"/>
        </w:rPr>
      </w:pPr>
      <w:r>
        <w:rPr>
          <w:rFonts w:ascii="Times New Roman" w:cs="Times New Roman" w:eastAsia="Times New Roman" w:hAnsi="Times New Roman"/>
          <w:sz w:val="13"/>
          <w:szCs w:val="13"/>
          <w:color w:val="auto"/>
        </w:rPr>
        <w:t>United States (and if required by an applicable income tax treaty, is attributable to a permanent establishment or fixed base maintained by the Non-U.S. Holder in the United States), the Non-U.S. Holder will generally be subject to U.S. federal income tax at the regular graduated U.S. federal income tax rates generally applicable to a U.S. person. If the Non-U.S. Holder is a corporation, the Non-U.S. Holder may also be subject to the branch profits tax at a 30-percent rate or such lower rate as may be specified by an applicable income tax treaty. Non-U.S. Holders should consult their tax advisors with respect to other U.S. tax consequences of the acquisition, ownership and disposition of the Class A Common Stock, including the possible imposition of the branch profits tax.</w:t>
      </w:r>
    </w:p>
    <w:p>
      <w:pPr>
        <w:spacing w:after="0" w:line="211"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3"/>
          <w:szCs w:val="13"/>
          <w:b w:val="1"/>
          <w:bCs w:val="1"/>
          <w:i w:val="1"/>
          <w:iCs w:val="1"/>
          <w:color w:val="auto"/>
        </w:rPr>
        <w:t>Information Reporting and Backup Withholding</w:t>
      </w:r>
    </w:p>
    <w:p>
      <w:pPr>
        <w:spacing w:after="0" w:line="96" w:lineRule="exact"/>
        <w:rPr>
          <w:sz w:val="20"/>
          <w:szCs w:val="20"/>
          <w:color w:val="auto"/>
        </w:rPr>
      </w:pPr>
    </w:p>
    <w:p>
      <w:pPr>
        <w:ind w:left="1540" w:right="439" w:firstLine="329"/>
        <w:spacing w:after="0" w:line="268" w:lineRule="auto"/>
        <w:rPr>
          <w:sz w:val="20"/>
          <w:szCs w:val="20"/>
          <w:color w:val="auto"/>
        </w:rPr>
      </w:pPr>
      <w:r>
        <w:rPr>
          <w:rFonts w:ascii="Times New Roman" w:cs="Times New Roman" w:eastAsia="Times New Roman" w:hAnsi="Times New Roman"/>
          <w:sz w:val="13"/>
          <w:szCs w:val="13"/>
          <w:color w:val="auto"/>
        </w:rPr>
        <w:t>Information returns will be filed with the IRS in connection with payments of dividends on the Class A Common Stock. Copies of the information returns reporting those dividends and withholding may also be made available to the tax authorities in the country in which a Non-U.S. Holder is a resident under the provisions of an applicable income tax treaty or agreement. Unless a Non-U.S. Holder complies with certification procedures to establish that the Non-U.S. Holder is not a U.S. person, information returns may also be filed with the IRS in connection with the proceeds from a sale, exchange or other taxable disposition of the Class A Common Stock to or through the U.S. office (and, in certain cases, the foreign office) of a broker.</w:t>
      </w:r>
    </w:p>
    <w:p>
      <w:pPr>
        <w:spacing w:after="0" w:line="133" w:lineRule="exact"/>
        <w:rPr>
          <w:sz w:val="20"/>
          <w:szCs w:val="20"/>
          <w:color w:val="auto"/>
        </w:rPr>
      </w:pPr>
    </w:p>
    <w:p>
      <w:pPr>
        <w:ind w:left="1540" w:right="439" w:firstLine="329"/>
        <w:spacing w:after="0" w:line="265" w:lineRule="auto"/>
        <w:rPr>
          <w:sz w:val="20"/>
          <w:szCs w:val="20"/>
          <w:color w:val="auto"/>
        </w:rPr>
      </w:pPr>
      <w:r>
        <w:rPr>
          <w:rFonts w:ascii="Times New Roman" w:cs="Times New Roman" w:eastAsia="Times New Roman" w:hAnsi="Times New Roman"/>
          <w:sz w:val="13"/>
          <w:szCs w:val="13"/>
          <w:color w:val="auto"/>
        </w:rPr>
        <w:t>A Non-U.S. Holder may be subject to backup withholding (currently at a rate of 24 percent) on payments on the Class A Common Stock or on the proceeds from a sale, exchange or other taxable disposition of the Class A Common Stock unless the Non-U.S. Holder complies with certification procedures to establish that the Non-U.S. Holder is not a U.S. person or otherwise establishes an exemption. Compliance with the certification procedures required to claim a reduced rate of withholding under a treaty (including properly certifying non-U.S. status on an IRS Form W-8BEN, IRS Form W-8BEN-E or other appropriate version of IRS Form W-8 (or appropriate successor form)) generally will satisfy the certification requirements necessary to avoid backup withholding as well. Notwithstanding the foregoing, U.S. federal backup withholding may apply if the payor has actual knowledge, or reason to know, that a holder is a U.S. person.</w:t>
      </w:r>
    </w:p>
    <w:p>
      <w:pPr>
        <w:spacing w:after="0" w:line="135" w:lineRule="exact"/>
        <w:rPr>
          <w:sz w:val="20"/>
          <w:szCs w:val="20"/>
          <w:color w:val="auto"/>
        </w:rPr>
      </w:pPr>
    </w:p>
    <w:p>
      <w:pPr>
        <w:ind w:left="1540" w:right="439" w:firstLine="329"/>
        <w:spacing w:after="0" w:line="268" w:lineRule="auto"/>
        <w:rPr>
          <w:sz w:val="20"/>
          <w:szCs w:val="20"/>
          <w:color w:val="auto"/>
        </w:rPr>
      </w:pPr>
      <w:r>
        <w:rPr>
          <w:rFonts w:ascii="Times New Roman" w:cs="Times New Roman" w:eastAsia="Times New Roman" w:hAnsi="Times New Roman"/>
          <w:sz w:val="13"/>
          <w:szCs w:val="13"/>
          <w:color w:val="auto"/>
        </w:rPr>
        <w:t>Backup withholding is not an additional tax. Any amounts withheld from a payment to a Non-U.S. Holder under the backup withholding rules generally will be allowed as a credit against such Non-U.S. Holder’s U.S. federal income tax liability and may entitle such Non-U.S. Holder to a refund, provided the required information is furnished to the IRS in a timely manner. Non-U.S. Holders are urged to consult their tax advisors regarding the application of backup withholding and the availability of and procedure for obtaining an exemption from backup withholding in their particular circumstances.</w:t>
      </w:r>
    </w:p>
    <w:p>
      <w:pPr>
        <w:spacing w:after="0" w:line="20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3"/>
          <w:szCs w:val="13"/>
          <w:b w:val="1"/>
          <w:bCs w:val="1"/>
          <w:color w:val="auto"/>
        </w:rPr>
        <w:t>FATCA</w:t>
      </w:r>
    </w:p>
    <w:p>
      <w:pPr>
        <w:spacing w:after="0" w:line="96" w:lineRule="exact"/>
        <w:rPr>
          <w:sz w:val="20"/>
          <w:szCs w:val="20"/>
          <w:color w:val="auto"/>
        </w:rPr>
      </w:pPr>
    </w:p>
    <w:p>
      <w:pPr>
        <w:ind w:left="1540" w:right="439" w:firstLine="329"/>
        <w:spacing w:after="0" w:line="262" w:lineRule="auto"/>
        <w:rPr>
          <w:sz w:val="20"/>
          <w:szCs w:val="20"/>
          <w:color w:val="auto"/>
        </w:rPr>
      </w:pPr>
      <w:r>
        <w:rPr>
          <w:rFonts w:ascii="Times New Roman" w:cs="Times New Roman" w:eastAsia="Times New Roman" w:hAnsi="Times New Roman"/>
          <w:sz w:val="13"/>
          <w:szCs w:val="13"/>
          <w:color w:val="auto"/>
        </w:rPr>
        <w:t>Provisions of the Code commonly referred to as “FATCA” generally require withholding of 30 percent on payments of dividends on the Class A Common Stock, as well as payments of gross proceeds of dispositions of the Class A Common Stock, to a “foreign financial institution” (which is broadly defined for this purpose and in general includes investment vehicles) and certain other non-U.S. entities unless various U.S. information reporting and due diligence requirements (generally relating to ownership by U.S. persons of interests in or accounts with those entities) have been satisfied or an exemption applies. However, the IRS has issued proposed U.S. Treasury regulations that eliminate FATCA withholding on payments of gross proceeds (but not on payments of dividends). Pursuant to the preamble to the proposed U.S. Treasury regulations, any applicable withholding agent may (but is not required to) rely on this proposed change to FATCA withholding until final U.S. Treasury regulations are issued or the proposed U.S. Treasury regulations are withdrawn. An intergovernmental agreement between the United States and an applicable foreign country may modify these requirements. If FATCA withholding is imposed, a beneficial owner that is not a foreign financial institution generally may obtain a refund of any amounts withheld by filing a U.S. federal income tax return (which may entail significant administrative burden). Non-U.S. Holders should consult their tax advisors regarding the effects of FATCA on their investments in the Class A Common Stock.</w:t>
      </w:r>
    </w:p>
    <w:p>
      <w:pPr>
        <w:spacing w:after="0" w:line="8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3"/>
          <w:szCs w:val="13"/>
          <w:color w:val="auto"/>
        </w:rPr>
        <w:t>S-21</w:t>
      </w:r>
    </w:p>
    <w:p>
      <w:pPr>
        <w:sectPr>
          <w:pgSz w:w="11900" w:h="16838" w:orient="portrait"/>
          <w:cols w:equalWidth="0" w:num="1">
            <w:col w:w="10159"/>
          </w:cols>
          <w:pgMar w:left="300" w:top="375" w:right="1440"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7">
                      <a:extLst>
                        <a:ext uri="{28A0092B-C50C-407E-A947-70E740481C1C}"/>
                      </a:extLst>
                    </a:blip>
                    <a:srcRect/>
                    <a:stretch>
                      <a:fillRect/>
                    </a:stretch>
                  </pic:blipFill>
                  <pic:spPr bwMode="auto">
                    <a:xfrm>
                      <a:off x="0" y="0"/>
                      <a:ext cx="7205345" cy="31750"/>
                    </a:xfrm>
                    <a:prstGeom prst="rect">
                      <a:avLst/>
                    </a:prstGeom>
                    <a:noFill/>
                  </pic:spPr>
                </pic:pic>
              </a:graphicData>
            </a:graphic>
          </wp:anchor>
        </w:drawing>
        <w:t>Table of Contents</w:t>
      </w:r>
    </w:p>
    <w:p>
      <w:pPr>
        <w:spacing w:after="0" w:line="248"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3"/>
          <w:szCs w:val="13"/>
          <w:color w:val="auto"/>
        </w:rPr>
        <w:t>Cibus will not pay any additional amounts to Non-U.S. Holders with respect to any amounts withheld, including pursuant to FATCA.</w:t>
      </w:r>
    </w:p>
    <w:p>
      <w:pPr>
        <w:spacing w:after="0" w:line="169" w:lineRule="exact"/>
        <w:rPr>
          <w:sz w:val="20"/>
          <w:szCs w:val="20"/>
          <w:color w:val="auto"/>
        </w:rPr>
      </w:pPr>
    </w:p>
    <w:p>
      <w:pPr>
        <w:ind w:left="1540" w:right="479" w:firstLine="329"/>
        <w:spacing w:after="0" w:line="273" w:lineRule="auto"/>
        <w:rPr>
          <w:sz w:val="20"/>
          <w:szCs w:val="20"/>
          <w:color w:val="auto"/>
        </w:rPr>
      </w:pPr>
      <w:r>
        <w:rPr>
          <w:rFonts w:ascii="Times New Roman" w:cs="Times New Roman" w:eastAsia="Times New Roman" w:hAnsi="Times New Roman"/>
          <w:sz w:val="13"/>
          <w:szCs w:val="13"/>
          <w:b w:val="1"/>
          <w:bCs w:val="1"/>
          <w:color w:val="auto"/>
        </w:rPr>
        <w:t>THE PRECEDING DISCUSSION OF U.S. FEDERAL TAX CONSIDERATIONS IS FOR GENERAL INFORMATION ONLY. IT IS NOT TAX ADVICE. PROSPECTIVE INVESTORS SHOULD CONSULT THEIR TAX ADVISORS REGARDING THE PARTICULAR U.S. FEDERAL, STATE AND LOCAL AND NON-U.S. TAX CONSEQUENCES OF PURCHASING, OWNING AND DISPOSING OF THE CLASS A COMMON STOCK, INCLUDING THE CONSEQUENCES OF ANY PROPOSED CHANGE IN APPLICABLE LAWS.</w:t>
      </w:r>
    </w:p>
    <w:p>
      <w:pPr>
        <w:spacing w:after="0" w:line="80"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3"/>
          <w:szCs w:val="13"/>
          <w:color w:val="auto"/>
        </w:rPr>
        <w:t>S-22</w:t>
      </w:r>
    </w:p>
    <w:p>
      <w:pPr>
        <w:sectPr>
          <w:pgSz w:w="11900" w:h="16838" w:orient="portrait"/>
          <w:cols w:equalWidth="0" w:num="1">
            <w:col w:w="10159"/>
          </w:cols>
          <w:pgMar w:left="300" w:top="375" w:right="1440"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8">
                      <a:extLst>
                        <a:ext uri="{28A0092B-C50C-407E-A947-70E740481C1C}"/>
                      </a:extLst>
                    </a:blip>
                    <a:srcRect/>
                    <a:stretch>
                      <a:fillRect/>
                    </a:stretch>
                  </pic:blipFill>
                  <pic:spPr bwMode="auto">
                    <a:xfrm>
                      <a:off x="0" y="0"/>
                      <a:ext cx="7205345" cy="31750"/>
                    </a:xfrm>
                    <a:prstGeom prst="rect">
                      <a:avLst/>
                    </a:prstGeom>
                    <a:noFill/>
                  </pic:spPr>
                </pic:pic>
              </a:graphicData>
            </a:graphic>
          </wp:anchor>
        </w:drawing>
        <w:t>Table of Contents</w:t>
      </w:r>
    </w:p>
    <w:p>
      <w:pPr>
        <w:spacing w:after="0" w:line="24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3"/>
          <w:szCs w:val="13"/>
          <w:b w:val="1"/>
          <w:bCs w:val="1"/>
          <w:color w:val="auto"/>
        </w:rPr>
        <w:t>LEGAL MATTERS</w:t>
      </w:r>
    </w:p>
    <w:p>
      <w:pPr>
        <w:spacing w:after="0" w:line="177" w:lineRule="exact"/>
        <w:rPr>
          <w:sz w:val="20"/>
          <w:szCs w:val="20"/>
          <w:color w:val="auto"/>
        </w:rPr>
      </w:pPr>
    </w:p>
    <w:p>
      <w:pPr>
        <w:ind w:left="1540" w:right="859" w:firstLine="329"/>
        <w:spacing w:after="0" w:line="297" w:lineRule="auto"/>
        <w:rPr>
          <w:sz w:val="20"/>
          <w:szCs w:val="20"/>
          <w:color w:val="auto"/>
        </w:rPr>
      </w:pPr>
      <w:r>
        <w:rPr>
          <w:rFonts w:ascii="Times New Roman" w:cs="Times New Roman" w:eastAsia="Times New Roman" w:hAnsi="Times New Roman"/>
          <w:sz w:val="13"/>
          <w:szCs w:val="13"/>
          <w:color w:val="auto"/>
        </w:rPr>
        <w:t>Jones Day, New York, New York, will pass upon the validity of the securities offered hereby. Certain legal matters will be passed upon for Jefferies LLC by Mintz, Levin, Cohn, Ferris, Glovsky and Popeo, P.C., New York, New York.</w:t>
      </w:r>
    </w:p>
    <w:p>
      <w:pPr>
        <w:spacing w:after="0" w:line="6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3"/>
          <w:szCs w:val="13"/>
          <w:color w:val="auto"/>
        </w:rPr>
        <w:t>S-23</w:t>
      </w:r>
    </w:p>
    <w:p>
      <w:pPr>
        <w:sectPr>
          <w:pgSz w:w="11900" w:h="16838" w:orient="portrait"/>
          <w:cols w:equalWidth="0" w:num="1">
            <w:col w:w="10159"/>
          </w:cols>
          <w:pgMar w:left="300" w:top="375" w:right="1440"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9">
                      <a:extLst>
                        <a:ext uri="{28A0092B-C50C-407E-A947-70E740481C1C}"/>
                      </a:extLst>
                    </a:blip>
                    <a:srcRect/>
                    <a:stretch>
                      <a:fillRect/>
                    </a:stretch>
                  </pic:blipFill>
                  <pic:spPr bwMode="auto">
                    <a:xfrm>
                      <a:off x="0" y="0"/>
                      <a:ext cx="7205345" cy="31750"/>
                    </a:xfrm>
                    <a:prstGeom prst="rect">
                      <a:avLst/>
                    </a:prstGeom>
                    <a:noFill/>
                  </pic:spPr>
                </pic:pic>
              </a:graphicData>
            </a:graphic>
          </wp:anchor>
        </w:drawing>
        <w:t>Table of Contents</w:t>
      </w:r>
    </w:p>
    <w:p>
      <w:pPr>
        <w:spacing w:after="0" w:line="24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EXPERTS</w:t>
      </w:r>
    </w:p>
    <w:p>
      <w:pPr>
        <w:spacing w:after="0" w:line="177" w:lineRule="exact"/>
        <w:rPr>
          <w:sz w:val="20"/>
          <w:szCs w:val="20"/>
          <w:color w:val="auto"/>
        </w:rPr>
      </w:pPr>
    </w:p>
    <w:p>
      <w:pPr>
        <w:ind w:left="1540" w:right="459" w:firstLine="329"/>
        <w:spacing w:after="0" w:line="271" w:lineRule="auto"/>
        <w:rPr>
          <w:sz w:val="20"/>
          <w:szCs w:val="20"/>
          <w:color w:val="auto"/>
        </w:rPr>
      </w:pPr>
      <w:r>
        <w:rPr>
          <w:rFonts w:ascii="Times New Roman" w:cs="Times New Roman" w:eastAsia="Times New Roman" w:hAnsi="Times New Roman"/>
          <w:sz w:val="13"/>
          <w:szCs w:val="13"/>
          <w:color w:val="auto"/>
        </w:rPr>
        <w:t>The consolidated financial statements of Cibus, Inc. (the Company) as of December 31, 2025 and 2024, and for the years then ended incorporated by reference in this prospectus supplement, have been so incorporated in reliance upon the report of BDO USA, P.C., an independent registered public accounting firm, given on the authority of said firm as experts in auditing and accounting. The report on the consolidated financial statements contains an explanatory paragraph regarding the Company’s ability to continue as a going concern.</w:t>
      </w:r>
    </w:p>
    <w:p>
      <w:pPr>
        <w:spacing w:after="0" w:line="81"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3"/>
          <w:szCs w:val="13"/>
          <w:color w:val="auto"/>
        </w:rPr>
        <w:t>S-24</w:t>
      </w:r>
    </w:p>
    <w:p>
      <w:pPr>
        <w:sectPr>
          <w:pgSz w:w="11900" w:h="16838" w:orient="portrait"/>
          <w:cols w:equalWidth="0" w:num="1">
            <w:col w:w="10159"/>
          </w:cols>
          <w:pgMar w:left="300" w:top="375" w:right="1440"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0">
                      <a:extLst>
                        <a:ext uri="{28A0092B-C50C-407E-A947-70E740481C1C}"/>
                      </a:extLst>
                    </a:blip>
                    <a:srcRect/>
                    <a:stretch>
                      <a:fillRect/>
                    </a:stretch>
                  </pic:blipFill>
                  <pic:spPr bwMode="auto">
                    <a:xfrm>
                      <a:off x="0" y="0"/>
                      <a:ext cx="7205345" cy="31750"/>
                    </a:xfrm>
                    <a:prstGeom prst="rect">
                      <a:avLst/>
                    </a:prstGeom>
                    <a:noFill/>
                  </pic:spPr>
                </pic:pic>
              </a:graphicData>
            </a:graphic>
          </wp:anchor>
        </w:drawing>
        <w:t>Table of Contents</w:t>
      </w:r>
    </w:p>
    <w:p>
      <w:pPr>
        <w:spacing w:after="0" w:line="244"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3"/>
          <w:szCs w:val="13"/>
          <w:b w:val="1"/>
          <w:bCs w:val="1"/>
          <w:color w:val="auto"/>
        </w:rPr>
        <w:t>WHERE YOU CAN FIND ADDITIONAL INFORMATION</w:t>
      </w:r>
    </w:p>
    <w:p>
      <w:pPr>
        <w:spacing w:after="0" w:line="177" w:lineRule="exact"/>
        <w:rPr>
          <w:sz w:val="20"/>
          <w:szCs w:val="20"/>
          <w:color w:val="auto"/>
        </w:rPr>
      </w:pPr>
    </w:p>
    <w:p>
      <w:pPr>
        <w:ind w:left="1540" w:right="519" w:firstLine="329"/>
        <w:spacing w:after="0" w:line="265" w:lineRule="auto"/>
        <w:rPr>
          <w:sz w:val="20"/>
          <w:szCs w:val="20"/>
          <w:color w:val="auto"/>
        </w:rPr>
      </w:pPr>
      <w:r>
        <w:rPr>
          <w:rFonts w:ascii="Times New Roman" w:cs="Times New Roman" w:eastAsia="Times New Roman" w:hAnsi="Times New Roman"/>
          <w:sz w:val="13"/>
          <w:szCs w:val="13"/>
          <w:color w:val="auto"/>
        </w:rPr>
        <w:t>Cibus filed with the SEC a registration statement on Form S-3 under the Securities Act with respect to the securities offered hereby. This prospectus supplement and the accompanying prospectus, which constitutes a part of the registration statement, does not contain all of the information set forth in the registration statement or the exhibits filed with the registration statement. For further information about Cibus and the securities offered hereby, Cibus refers you to the registration statement and the exhibits filed with the registration statement. Statements contained in this prospectus supplement and the accompanying prospectus regarding the contents of any contract or any other document that is filed as an exhibit to the registration statement are not necessarily complete, and each such statement is qualified in all respects by reference to the full text of such contract or other document filed as an exhibit to the registration statement.</w:t>
      </w:r>
    </w:p>
    <w:p>
      <w:pPr>
        <w:spacing w:after="0" w:line="135" w:lineRule="exact"/>
        <w:rPr>
          <w:sz w:val="20"/>
          <w:szCs w:val="20"/>
          <w:color w:val="auto"/>
        </w:rPr>
      </w:pPr>
    </w:p>
    <w:p>
      <w:pPr>
        <w:ind w:left="1540" w:right="499" w:firstLine="329"/>
        <w:spacing w:after="0" w:line="278" w:lineRule="auto"/>
        <w:rPr>
          <w:sz w:val="20"/>
          <w:szCs w:val="20"/>
          <w:color w:val="auto"/>
        </w:rPr>
      </w:pPr>
      <w:r>
        <w:rPr>
          <w:rFonts w:ascii="Times New Roman" w:cs="Times New Roman" w:eastAsia="Times New Roman" w:hAnsi="Times New Roman"/>
          <w:sz w:val="13"/>
          <w:szCs w:val="13"/>
          <w:color w:val="auto"/>
        </w:rPr>
        <w:t>Cibus is subject to the information and reporting requirements of the Exchange Act and, in accordance with this law, is required to file periodic reports, proxy statements and other information with the SEC. Cibus files annual, quarterly and current reports, proxy statements and other information with the SEC. Cibus’ SEC filings are available to the public at the SEC’s website at http://www.sec.gov.</w:t>
      </w:r>
    </w:p>
    <w:p>
      <w:pPr>
        <w:spacing w:after="0" w:line="125" w:lineRule="exact"/>
        <w:rPr>
          <w:sz w:val="20"/>
          <w:szCs w:val="20"/>
          <w:color w:val="auto"/>
        </w:rPr>
      </w:pPr>
    </w:p>
    <w:p>
      <w:pPr>
        <w:ind w:left="1540" w:right="559" w:firstLine="329"/>
        <w:spacing w:after="0" w:line="270" w:lineRule="auto"/>
        <w:rPr>
          <w:sz w:val="20"/>
          <w:szCs w:val="20"/>
          <w:color w:val="auto"/>
        </w:rPr>
      </w:pPr>
      <w:r>
        <w:rPr>
          <w:rFonts w:ascii="Times New Roman" w:cs="Times New Roman" w:eastAsia="Times New Roman" w:hAnsi="Times New Roman"/>
          <w:sz w:val="13"/>
          <w:szCs w:val="13"/>
          <w:color w:val="auto"/>
        </w:rPr>
        <w:t>Cibus makes available free of charge, on or through the investor relations section of Cibus’ website, Annual Reports on Form 10-K, Quarterly Reports on Form 10-Q, Current Reports on Form 8-K and amendments to those reports filed or furnished pursuant to Section 13(a) or 15(d) of the Exchange Act as soon as reasonably practicable after the Company electronically files such material with, or furnishes it to, the SEC. The information found on Cibus’ website, www.cibus.com, other than as specifically incorporated by reference in this prospectus supplement, is not part of this prospectus.</w:t>
      </w:r>
    </w:p>
    <w:p>
      <w:pPr>
        <w:spacing w:after="0" w:line="24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3"/>
          <w:szCs w:val="13"/>
          <w:color w:val="auto"/>
        </w:rPr>
        <w:t>S-25</w:t>
      </w:r>
    </w:p>
    <w:p>
      <w:pPr>
        <w:sectPr>
          <w:pgSz w:w="11900" w:h="16838" w:orient="portrait"/>
          <w:cols w:equalWidth="0" w:num="1">
            <w:col w:w="10159"/>
          </w:cols>
          <w:pgMar w:left="300" w:top="375" w:right="1440"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1">
                      <a:extLst>
                        <a:ext uri="{28A0092B-C50C-407E-A947-70E740481C1C}"/>
                      </a:extLst>
                    </a:blip>
                    <a:srcRect/>
                    <a:stretch>
                      <a:fillRect/>
                    </a:stretch>
                  </pic:blipFill>
                  <pic:spPr bwMode="auto">
                    <a:xfrm>
                      <a:off x="0" y="0"/>
                      <a:ext cx="7205345" cy="31750"/>
                    </a:xfrm>
                    <a:prstGeom prst="rect">
                      <a:avLst/>
                    </a:prstGeom>
                    <a:noFill/>
                  </pic:spPr>
                </pic:pic>
              </a:graphicData>
            </a:graphic>
          </wp:anchor>
        </w:drawing>
        <w:t>Table of Contents</w:t>
      </w:r>
    </w:p>
    <w:p>
      <w:pPr>
        <w:spacing w:after="0" w:line="24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INCORPORATION OF CERTAIN INFORMATION BY REFERENCE</w:t>
      </w:r>
    </w:p>
    <w:p>
      <w:pPr>
        <w:spacing w:after="0" w:line="177" w:lineRule="exact"/>
        <w:rPr>
          <w:sz w:val="20"/>
          <w:szCs w:val="20"/>
          <w:color w:val="auto"/>
        </w:rPr>
      </w:pPr>
    </w:p>
    <w:p>
      <w:pPr>
        <w:ind w:left="1540" w:right="439" w:firstLine="329"/>
        <w:spacing w:after="0" w:line="262" w:lineRule="auto"/>
        <w:rPr>
          <w:sz w:val="20"/>
          <w:szCs w:val="20"/>
          <w:color w:val="auto"/>
        </w:rPr>
      </w:pPr>
      <w:r>
        <w:rPr>
          <w:rFonts w:ascii="Times New Roman" w:cs="Times New Roman" w:eastAsia="Times New Roman" w:hAnsi="Times New Roman"/>
          <w:sz w:val="13"/>
          <w:szCs w:val="13"/>
          <w:color w:val="auto"/>
        </w:rPr>
        <w:t>The SEC allows Cibus to “incorporate by reference” information that Cibus files with them. Incorporation by reference allows Cibus to disclose important information to you by referring you to those other documents. The information incorporated by reference is an important part of this prospectus supplement and the accompanying prospectus, and information that Cibus files later with the SEC will automatically update and supersede this information. Cibus filed a registration statement on Form S-3 under the Securities Act, with the SEC with respect to the securities being offered pursuant to this prospectus supplement and the accompanying prospectus. This prospectus supplement and the accompanying prospectus omit certain information contained in the registration statement, as permitted by the SEC. You should refer to the registration statement, including the exhibits, for further information about Cibus and the securities being offered pursuant to this prospectus supplement and the accompanying prospectus. Statements in this prospectus supplement and the accompanying prospectus regarding the provisions of certain documents filed with, or incorporated by reference in, the registration statement are not necessarily complete and each statement is qualified in all respects by that reference. Copies of all or any part of the registration statement, including the documents incorporated by reference or the exhibits, may be obtained upon payment of the prescribed rates at the offices of the SEC listed above in “Where You Can Find Additional Information.” The documents Cibus is incorporating by reference are (other than those documents or the portions of those documents not deemed to be filed):</w:t>
      </w:r>
    </w:p>
    <w:p>
      <w:pPr>
        <w:spacing w:after="0" w:line="67" w:lineRule="exact"/>
        <w:rPr>
          <w:sz w:val="20"/>
          <w:szCs w:val="20"/>
          <w:color w:val="auto"/>
        </w:rPr>
      </w:pPr>
    </w:p>
    <w:p>
      <w:pPr>
        <w:ind w:left="2260" w:hanging="325"/>
        <w:spacing w:after="0"/>
        <w:tabs>
          <w:tab w:leader="none" w:pos="2260"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Company’s Annual Report on </w:t>
      </w:r>
      <w:hyperlink r:id="rId50">
        <w:r>
          <w:rPr>
            <w:rFonts w:ascii="Times New Roman" w:cs="Times New Roman" w:eastAsia="Times New Roman" w:hAnsi="Times New Roman"/>
            <w:sz w:val="13"/>
            <w:szCs w:val="13"/>
            <w:u w:val="single" w:color="auto"/>
            <w:color w:val="0000EE"/>
          </w:rPr>
          <w:t>Form 10-K</w:t>
        </w:r>
        <w:r>
          <w:rPr>
            <w:rFonts w:ascii="Times New Roman" w:cs="Times New Roman" w:eastAsia="Times New Roman" w:hAnsi="Times New Roman"/>
            <w:sz w:val="13"/>
            <w:szCs w:val="13"/>
            <w:u w:val="single" w:color="auto"/>
            <w:color w:val="auto"/>
          </w:rPr>
          <w:t xml:space="preserve"> </w:t>
        </w:r>
      </w:hyperlink>
      <w:r>
        <w:rPr>
          <w:rFonts w:ascii="Times New Roman" w:cs="Times New Roman" w:eastAsia="Times New Roman" w:hAnsi="Times New Roman"/>
          <w:sz w:val="13"/>
          <w:szCs w:val="13"/>
          <w:color w:val="auto"/>
        </w:rPr>
        <w:t>for the fiscal year ended December 31, 2025, filed with the SEC on March 17, 2026;</w:t>
      </w:r>
    </w:p>
    <w:p>
      <w:pPr>
        <w:spacing w:after="0" w:line="102" w:lineRule="exact"/>
        <w:rPr>
          <w:rFonts w:ascii="Times New Roman" w:cs="Times New Roman" w:eastAsia="Times New Roman" w:hAnsi="Times New Roman"/>
          <w:sz w:val="13"/>
          <w:szCs w:val="13"/>
          <w:color w:val="auto"/>
        </w:rPr>
      </w:pPr>
    </w:p>
    <w:p>
      <w:pPr>
        <w:ind w:left="2260" w:hanging="325"/>
        <w:spacing w:after="0"/>
        <w:tabs>
          <w:tab w:leader="none" w:pos="2260"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Company’s Quarterly Report on </w:t>
      </w:r>
      <w:hyperlink r:id="rId51">
        <w:r>
          <w:rPr>
            <w:rFonts w:ascii="Times New Roman" w:cs="Times New Roman" w:eastAsia="Times New Roman" w:hAnsi="Times New Roman"/>
            <w:sz w:val="13"/>
            <w:szCs w:val="13"/>
            <w:u w:val="single" w:color="auto"/>
            <w:color w:val="0000EE"/>
          </w:rPr>
          <w:t>Form 10-Q</w:t>
        </w:r>
        <w:r>
          <w:rPr>
            <w:rFonts w:ascii="Times New Roman" w:cs="Times New Roman" w:eastAsia="Times New Roman" w:hAnsi="Times New Roman"/>
            <w:sz w:val="13"/>
            <w:szCs w:val="13"/>
            <w:u w:val="single" w:color="auto"/>
            <w:color w:val="auto"/>
          </w:rPr>
          <w:t xml:space="preserve"> </w:t>
        </w:r>
      </w:hyperlink>
      <w:r>
        <w:rPr>
          <w:rFonts w:ascii="Times New Roman" w:cs="Times New Roman" w:eastAsia="Times New Roman" w:hAnsi="Times New Roman"/>
          <w:sz w:val="13"/>
          <w:szCs w:val="13"/>
          <w:color w:val="auto"/>
        </w:rPr>
        <w:t>for the period ended March 31, 2026, filed with the SEC on May 14, 2026;</w:t>
      </w:r>
    </w:p>
    <w:p>
      <w:pPr>
        <w:spacing w:after="0" w:line="102" w:lineRule="exact"/>
        <w:rPr>
          <w:rFonts w:ascii="Times New Roman" w:cs="Times New Roman" w:eastAsia="Times New Roman" w:hAnsi="Times New Roman"/>
          <w:sz w:val="13"/>
          <w:szCs w:val="13"/>
          <w:color w:val="auto"/>
        </w:rPr>
      </w:pPr>
    </w:p>
    <w:p>
      <w:pPr>
        <w:ind w:left="2260" w:right="579" w:hanging="325"/>
        <w:spacing w:after="0" w:line="297" w:lineRule="auto"/>
        <w:tabs>
          <w:tab w:leader="none" w:pos="2260" w:val="left"/>
        </w:tabs>
        <w:numPr>
          <w:ilvl w:val="0"/>
          <w:numId w:val="20"/>
        </w:numPr>
        <w:rPr>
          <w:rFonts w:ascii="Times New Roman" w:cs="Times New Roman" w:eastAsia="Times New Roman" w:hAnsi="Times New Roman"/>
          <w:sz w:val="13"/>
          <w:szCs w:val="13"/>
          <w:color w:val="0000EE"/>
        </w:rPr>
      </w:pPr>
      <w:hyperlink r:id="rId52">
        <w:r>
          <w:rPr>
            <w:rFonts w:ascii="Times New Roman" w:cs="Times New Roman" w:eastAsia="Times New Roman" w:hAnsi="Times New Roman"/>
            <w:sz w:val="13"/>
            <w:szCs w:val="13"/>
            <w:color w:val="auto"/>
          </w:rPr>
          <w:t xml:space="preserve">the Company’s Current Reports on Form 8-K filed on </w:t>
        </w:r>
        <w:r>
          <w:rPr>
            <w:rFonts w:ascii="Times New Roman" w:cs="Times New Roman" w:eastAsia="Times New Roman" w:hAnsi="Times New Roman"/>
            <w:sz w:val="13"/>
            <w:szCs w:val="13"/>
            <w:u w:val="single" w:color="auto"/>
            <w:color w:val="0000EE"/>
          </w:rPr>
          <w:t>January 6, 2026</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0000EE"/>
          </w:rPr>
          <w:t>January 28, 2026</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0000EE"/>
          </w:rPr>
          <w:t>January 30, 2026</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0000EE"/>
          </w:rPr>
          <w:t>March 27, 2026</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0000EE"/>
          </w:rPr>
          <w:t>April</w:t>
        </w:r>
      </w:hyperlink>
      <w:r>
        <w:rPr>
          <w:rFonts w:ascii="Times New Roman" w:cs="Times New Roman" w:eastAsia="Times New Roman" w:hAnsi="Times New Roman"/>
          <w:sz w:val="13"/>
          <w:szCs w:val="13"/>
          <w:color w:val="auto"/>
        </w:rPr>
        <w:t xml:space="preserve"> </w:t>
      </w:r>
      <w:hyperlink r:id="rId52">
        <w:r>
          <w:rPr>
            <w:rFonts w:ascii="Times New Roman" w:cs="Times New Roman" w:eastAsia="Times New Roman" w:hAnsi="Times New Roman"/>
            <w:sz w:val="13"/>
            <w:szCs w:val="13"/>
            <w:u w:val="single" w:color="auto"/>
            <w:color w:val="0000EE"/>
          </w:rPr>
          <w:t>10, 2026</w:t>
        </w:r>
        <w:r>
          <w:rPr>
            <w:rFonts w:ascii="Times New Roman" w:cs="Times New Roman" w:eastAsia="Times New Roman" w:hAnsi="Times New Roman"/>
            <w:sz w:val="13"/>
            <w:szCs w:val="13"/>
            <w:color w:val="0000EE"/>
          </w:rPr>
          <w:t xml:space="preserve"> </w:t>
        </w:r>
        <w:r>
          <w:rPr>
            <w:rFonts w:ascii="Times New Roman" w:cs="Times New Roman" w:eastAsia="Times New Roman" w:hAnsi="Times New Roman"/>
            <w:sz w:val="13"/>
            <w:szCs w:val="13"/>
            <w:color w:val="000000"/>
          </w:rPr>
          <w:t>(in each case, excluding any information furnished and not filed with the SEC); and</w:t>
        </w:r>
      </w:hyperlink>
    </w:p>
    <w:p>
      <w:pPr>
        <w:spacing w:after="0" w:line="43" w:lineRule="exact"/>
        <w:rPr>
          <w:rFonts w:ascii="Times New Roman" w:cs="Times New Roman" w:eastAsia="Times New Roman" w:hAnsi="Times New Roman"/>
          <w:sz w:val="13"/>
          <w:szCs w:val="13"/>
          <w:color w:val="0000EE"/>
        </w:rPr>
      </w:pPr>
    </w:p>
    <w:p>
      <w:pPr>
        <w:jc w:val="both"/>
        <w:ind w:left="2260" w:right="459" w:hanging="325"/>
        <w:spacing w:after="0" w:line="278" w:lineRule="auto"/>
        <w:tabs>
          <w:tab w:leader="none" w:pos="2260"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description of Cibus’ Class A Common Stock contained in Cibus’ Registration Statement on </w:t>
      </w:r>
      <w:hyperlink r:id="rId53">
        <w:r>
          <w:rPr>
            <w:rFonts w:ascii="Times New Roman" w:cs="Times New Roman" w:eastAsia="Times New Roman" w:hAnsi="Times New Roman"/>
            <w:sz w:val="13"/>
            <w:szCs w:val="13"/>
            <w:u w:val="single" w:color="auto"/>
            <w:color w:val="0000EE"/>
          </w:rPr>
          <w:t>Form 8-A</w:t>
        </w:r>
      </w:hyperlink>
      <w:r>
        <w:rPr>
          <w:rFonts w:ascii="Times New Roman" w:cs="Times New Roman" w:eastAsia="Times New Roman" w:hAnsi="Times New Roman"/>
          <w:sz w:val="13"/>
          <w:szCs w:val="13"/>
          <w:color w:val="auto"/>
        </w:rPr>
        <w:t xml:space="preserve">, filed on July 20, 2017, as the description therein has been updated and superseded by the description of capital stock contained in </w:t>
      </w:r>
      <w:hyperlink r:id="rId54">
        <w:r>
          <w:rPr>
            <w:rFonts w:ascii="Times New Roman" w:cs="Times New Roman" w:eastAsia="Times New Roman" w:hAnsi="Times New Roman"/>
            <w:sz w:val="13"/>
            <w:szCs w:val="13"/>
            <w:u w:val="single" w:color="auto"/>
            <w:color w:val="0000EE"/>
          </w:rPr>
          <w:t>Exhibit 99.1</w:t>
        </w:r>
        <w:r>
          <w:rPr>
            <w:rFonts w:ascii="Times New Roman" w:cs="Times New Roman" w:eastAsia="Times New Roman" w:hAnsi="Times New Roman"/>
            <w:sz w:val="13"/>
            <w:szCs w:val="13"/>
            <w:u w:val="single" w:color="auto"/>
            <w:color w:val="auto"/>
          </w:rPr>
          <w:t xml:space="preserve"> </w:t>
        </w:r>
      </w:hyperlink>
      <w:r>
        <w:rPr>
          <w:rFonts w:ascii="Times New Roman" w:cs="Times New Roman" w:eastAsia="Times New Roman" w:hAnsi="Times New Roman"/>
          <w:sz w:val="13"/>
          <w:szCs w:val="13"/>
          <w:color w:val="auto"/>
        </w:rPr>
        <w:t>to Cibus’ Current Report on Form 8-K filed with the SEC on June 29, 2023, including any amendments or reports filed for the purpose of updating the description.</w:t>
      </w:r>
    </w:p>
    <w:p>
      <w:pPr>
        <w:spacing w:after="0" w:line="125" w:lineRule="exact"/>
        <w:rPr>
          <w:rFonts w:ascii="Times New Roman" w:cs="Times New Roman" w:eastAsia="Times New Roman" w:hAnsi="Times New Roman"/>
          <w:sz w:val="13"/>
          <w:szCs w:val="13"/>
          <w:color w:val="auto"/>
        </w:rPr>
      </w:pPr>
    </w:p>
    <w:p>
      <w:pPr>
        <w:ind w:left="1540" w:right="459" w:firstLine="329"/>
        <w:spacing w:after="0" w:line="265" w:lineRule="auto"/>
        <w:rPr>
          <w:sz w:val="20"/>
          <w:szCs w:val="20"/>
          <w:color w:val="auto"/>
        </w:rPr>
      </w:pPr>
      <w:r>
        <w:rPr>
          <w:rFonts w:ascii="Times New Roman" w:cs="Times New Roman" w:eastAsia="Times New Roman" w:hAnsi="Times New Roman"/>
          <w:sz w:val="13"/>
          <w:szCs w:val="13"/>
          <w:color w:val="auto"/>
        </w:rPr>
        <w:t>Cibus also incorporates by reference any future filings (other than, in each case, documents (or portions thereof) or information deemed to have been “furnished” and not “filed” in accordance with SEC rules, including current reports furnished under Item 2.02 or Item 7.01 of Form 8-K and exhibits filed on such form that are related to such items unless such Form 8-K expressly provides to the contrary) made with the SEC pursuant to Sections 13(a), 13(c), 14 or 15(d) of the Exchange Act, including those made after the date of this prospectus supplement. Information in such future filings updates and supplements the information provided in this prospectus supplement. Any statements in any such future filings will automatically be deemed to modify and supersede any information in any document Cibus previously filed with the SEC that is incorporated or deemed to be incorporated herein by reference to the extent that statements in the later filed document modify or replace such earlier statements.</w:t>
      </w:r>
    </w:p>
    <w:p>
      <w:pPr>
        <w:spacing w:after="0" w:line="135" w:lineRule="exact"/>
        <w:rPr>
          <w:rFonts w:ascii="Times New Roman" w:cs="Times New Roman" w:eastAsia="Times New Roman" w:hAnsi="Times New Roman"/>
          <w:sz w:val="13"/>
          <w:szCs w:val="13"/>
          <w:color w:val="auto"/>
        </w:rPr>
      </w:pPr>
    </w:p>
    <w:p>
      <w:pPr>
        <w:ind w:left="1540" w:right="519" w:firstLine="329"/>
        <w:spacing w:after="0" w:line="271" w:lineRule="auto"/>
        <w:rPr>
          <w:sz w:val="20"/>
          <w:szCs w:val="20"/>
          <w:color w:val="auto"/>
        </w:rPr>
      </w:pPr>
      <w:r>
        <w:rPr>
          <w:rFonts w:ascii="Times New Roman" w:cs="Times New Roman" w:eastAsia="Times New Roman" w:hAnsi="Times New Roman"/>
          <w:sz w:val="13"/>
          <w:szCs w:val="13"/>
          <w:color w:val="auto"/>
        </w:rPr>
        <w:t>Upon request, Cibus will provide, without charge, to each person, including any beneficial owner, to whom a copy of this prospectus supplement and the accompanying prospectus are delivered a copy of the documents incorporated by reference into this prospectus supplement. You may request a copy of these filings, and any exhibits Cibus has specifically incorporated by reference as an exhibit in this prospectus supplement and the accompanying prospectus, at no cost by writing or telephoning Cibus at the following:</w:t>
      </w:r>
    </w:p>
    <w:p>
      <w:pPr>
        <w:spacing w:after="0" w:line="131" w:lineRule="exact"/>
        <w:rPr>
          <w:rFonts w:ascii="Times New Roman" w:cs="Times New Roman" w:eastAsia="Times New Roman" w:hAnsi="Times New Roman"/>
          <w:sz w:val="13"/>
          <w:szCs w:val="13"/>
          <w:color w:val="auto"/>
        </w:rPr>
      </w:pPr>
    </w:p>
    <w:p>
      <w:pPr>
        <w:jc w:val="center"/>
        <w:ind w:right="-1120"/>
        <w:spacing w:after="0"/>
        <w:rPr>
          <w:sz w:val="20"/>
          <w:szCs w:val="20"/>
          <w:color w:val="auto"/>
        </w:rPr>
      </w:pPr>
      <w:r>
        <w:rPr>
          <w:rFonts w:ascii="Times New Roman" w:cs="Times New Roman" w:eastAsia="Times New Roman" w:hAnsi="Times New Roman"/>
          <w:sz w:val="13"/>
          <w:szCs w:val="13"/>
          <w:color w:val="auto"/>
        </w:rPr>
        <w:t>Cibus Inc.</w:t>
      </w:r>
    </w:p>
    <w:p>
      <w:pPr>
        <w:spacing w:after="0" w:line="24" w:lineRule="exact"/>
        <w:rPr>
          <w:rFonts w:ascii="Times New Roman" w:cs="Times New Roman" w:eastAsia="Times New Roman" w:hAnsi="Times New Roman"/>
          <w:sz w:val="13"/>
          <w:szCs w:val="13"/>
          <w:color w:val="auto"/>
        </w:rPr>
      </w:pPr>
    </w:p>
    <w:p>
      <w:pPr>
        <w:jc w:val="center"/>
        <w:ind w:right="-1120"/>
        <w:spacing w:after="0"/>
        <w:rPr>
          <w:sz w:val="20"/>
          <w:szCs w:val="20"/>
          <w:color w:val="auto"/>
        </w:rPr>
      </w:pPr>
      <w:r>
        <w:rPr>
          <w:rFonts w:ascii="Times New Roman" w:cs="Times New Roman" w:eastAsia="Times New Roman" w:hAnsi="Times New Roman"/>
          <w:sz w:val="13"/>
          <w:szCs w:val="13"/>
          <w:color w:val="auto"/>
        </w:rPr>
        <w:t>6455 Nancy Ridge Drive</w:t>
      </w:r>
    </w:p>
    <w:p>
      <w:pPr>
        <w:spacing w:after="0" w:line="12" w:lineRule="exact"/>
        <w:rPr>
          <w:rFonts w:ascii="Times New Roman" w:cs="Times New Roman" w:eastAsia="Times New Roman" w:hAnsi="Times New Roman"/>
          <w:sz w:val="13"/>
          <w:szCs w:val="13"/>
          <w:color w:val="auto"/>
        </w:rPr>
      </w:pPr>
    </w:p>
    <w:p>
      <w:pPr>
        <w:jc w:val="center"/>
        <w:ind w:right="-1120"/>
        <w:spacing w:after="0"/>
        <w:rPr>
          <w:sz w:val="20"/>
          <w:szCs w:val="20"/>
          <w:color w:val="auto"/>
        </w:rPr>
      </w:pPr>
      <w:r>
        <w:rPr>
          <w:rFonts w:ascii="Times New Roman" w:cs="Times New Roman" w:eastAsia="Times New Roman" w:hAnsi="Times New Roman"/>
          <w:sz w:val="13"/>
          <w:szCs w:val="13"/>
          <w:color w:val="auto"/>
        </w:rPr>
        <w:t>San Diego, CA 92121</w:t>
      </w:r>
    </w:p>
    <w:p>
      <w:pPr>
        <w:spacing w:after="0" w:line="12" w:lineRule="exact"/>
        <w:rPr>
          <w:rFonts w:ascii="Times New Roman" w:cs="Times New Roman" w:eastAsia="Times New Roman" w:hAnsi="Times New Roman"/>
          <w:sz w:val="13"/>
          <w:szCs w:val="13"/>
          <w:color w:val="auto"/>
        </w:rPr>
      </w:pPr>
    </w:p>
    <w:p>
      <w:pPr>
        <w:jc w:val="center"/>
        <w:ind w:right="-1120"/>
        <w:spacing w:after="0"/>
        <w:rPr>
          <w:sz w:val="20"/>
          <w:szCs w:val="20"/>
          <w:color w:val="auto"/>
        </w:rPr>
      </w:pPr>
      <w:r>
        <w:rPr>
          <w:rFonts w:ascii="Times New Roman" w:cs="Times New Roman" w:eastAsia="Times New Roman" w:hAnsi="Times New Roman"/>
          <w:sz w:val="13"/>
          <w:szCs w:val="13"/>
          <w:color w:val="auto"/>
        </w:rPr>
        <w:t>Telephone: (858) 450-0008</w:t>
      </w:r>
    </w:p>
    <w:p>
      <w:pPr>
        <w:spacing w:after="0" w:line="12" w:lineRule="exact"/>
        <w:rPr>
          <w:rFonts w:ascii="Times New Roman" w:cs="Times New Roman" w:eastAsia="Times New Roman" w:hAnsi="Times New Roman"/>
          <w:sz w:val="13"/>
          <w:szCs w:val="13"/>
          <w:color w:val="auto"/>
        </w:rPr>
      </w:pPr>
    </w:p>
    <w:p>
      <w:pPr>
        <w:jc w:val="center"/>
        <w:ind w:right="-1120"/>
        <w:spacing w:after="0"/>
        <w:rPr>
          <w:sz w:val="20"/>
          <w:szCs w:val="20"/>
          <w:color w:val="auto"/>
        </w:rPr>
      </w:pPr>
      <w:r>
        <w:rPr>
          <w:rFonts w:ascii="Times New Roman" w:cs="Times New Roman" w:eastAsia="Times New Roman" w:hAnsi="Times New Roman"/>
          <w:sz w:val="13"/>
          <w:szCs w:val="13"/>
          <w:color w:val="auto"/>
        </w:rPr>
        <w:t>Attention: Investor Relations</w:t>
      </w:r>
    </w:p>
    <w:p>
      <w:pPr>
        <w:spacing w:after="0" w:line="110" w:lineRule="exact"/>
        <w:rPr>
          <w:rFonts w:ascii="Times New Roman" w:cs="Times New Roman" w:eastAsia="Times New Roman" w:hAnsi="Times New Roman"/>
          <w:sz w:val="13"/>
          <w:szCs w:val="13"/>
          <w:color w:val="auto"/>
        </w:rPr>
      </w:pPr>
    </w:p>
    <w:p>
      <w:pPr>
        <w:ind w:left="5520"/>
        <w:spacing w:after="0"/>
        <w:rPr>
          <w:sz w:val="20"/>
          <w:szCs w:val="20"/>
          <w:color w:val="auto"/>
        </w:rPr>
      </w:pPr>
      <w:r>
        <w:rPr>
          <w:rFonts w:ascii="Times New Roman" w:cs="Times New Roman" w:eastAsia="Times New Roman" w:hAnsi="Times New Roman"/>
          <w:sz w:val="13"/>
          <w:szCs w:val="13"/>
          <w:color w:val="auto"/>
        </w:rPr>
        <w:t>S-26</w:t>
      </w:r>
    </w:p>
    <w:p>
      <w:pPr>
        <w:sectPr>
          <w:pgSz w:w="11900" w:h="16838" w:orient="portrait"/>
          <w:cols w:equalWidth="0" w:num="1">
            <w:col w:w="10159"/>
          </w:cols>
          <w:pgMar w:left="300" w:top="375" w:right="1440"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2">
                      <a:extLst>
                        <a:ext uri="{28A0092B-C50C-407E-A947-70E740481C1C}"/>
                      </a:extLst>
                    </a:blip>
                    <a:srcRect/>
                    <a:stretch>
                      <a:fillRect/>
                    </a:stretch>
                  </pic:blipFill>
                  <pic:spPr bwMode="auto">
                    <a:xfrm>
                      <a:off x="0" y="0"/>
                      <a:ext cx="7205345" cy="31750"/>
                    </a:xfrm>
                    <a:prstGeom prst="rect">
                      <a:avLst/>
                    </a:prstGeom>
                    <a:noFill/>
                  </pic:spPr>
                </pic:pic>
              </a:graphicData>
            </a:graphic>
          </wp:anchor>
        </w:drawing>
        <w:t>Table of Contents</w:t>
      </w:r>
    </w:p>
    <w:p>
      <w:pPr>
        <w:spacing w:after="0" w:line="248" w:lineRule="exact"/>
        <w:rPr>
          <w:sz w:val="20"/>
          <w:szCs w:val="20"/>
          <w:color w:val="auto"/>
        </w:rPr>
      </w:pPr>
    </w:p>
    <w:p>
      <w:pPr>
        <w:ind w:left="1540" w:right="499" w:firstLine="329"/>
        <w:spacing w:after="0" w:line="271" w:lineRule="auto"/>
        <w:rPr>
          <w:sz w:val="20"/>
          <w:szCs w:val="20"/>
          <w:color w:val="auto"/>
        </w:rPr>
      </w:pPr>
      <w:r>
        <w:rPr>
          <w:rFonts w:ascii="Times New Roman" w:cs="Times New Roman" w:eastAsia="Times New Roman" w:hAnsi="Times New Roman"/>
          <w:sz w:val="13"/>
          <w:szCs w:val="13"/>
          <w:color w:val="auto"/>
        </w:rPr>
        <w:t>You may also access these documents, free of charge on the SEC’s website at www.sec.gov or on the “Investors” page of Cibus’ website at www.cibus.com. Other than such documents, information contained on Cibus’ website is not incorporated by reference into this prospectus supplement and the accompanying prospectus, and you should not consider any information on, or that can be accessed from, Cibus’ website as part of this prospectus supplement or the accompanying prospectus.</w:t>
      </w:r>
    </w:p>
    <w:p>
      <w:pPr>
        <w:spacing w:after="0" w:line="131" w:lineRule="exact"/>
        <w:rPr>
          <w:sz w:val="20"/>
          <w:szCs w:val="20"/>
          <w:color w:val="auto"/>
        </w:rPr>
      </w:pPr>
    </w:p>
    <w:p>
      <w:pPr>
        <w:ind w:left="1540" w:right="1099" w:firstLine="329"/>
        <w:spacing w:after="0" w:line="297" w:lineRule="auto"/>
        <w:rPr>
          <w:sz w:val="20"/>
          <w:szCs w:val="20"/>
          <w:color w:val="auto"/>
        </w:rPr>
      </w:pPr>
      <w:r>
        <w:rPr>
          <w:rFonts w:ascii="Times New Roman" w:cs="Times New Roman" w:eastAsia="Times New Roman" w:hAnsi="Times New Roman"/>
          <w:sz w:val="13"/>
          <w:szCs w:val="13"/>
          <w:color w:val="auto"/>
        </w:rPr>
        <w:t>This prospectus supplement and the accompanying prospectus are part of a registration statement Cibus filed with the SEC. Cibus has incorporated exhibits into this registration statement. You should read the exhibits carefully for provisions that may be important to you.</w:t>
      </w:r>
    </w:p>
    <w:p>
      <w:pPr>
        <w:spacing w:after="0" w:line="6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3"/>
          <w:szCs w:val="13"/>
          <w:color w:val="auto"/>
        </w:rPr>
        <w:t>S-27</w:t>
      </w:r>
    </w:p>
    <w:p>
      <w:pPr>
        <w:sectPr>
          <w:pgSz w:w="11900" w:h="16838" w:orient="portrait"/>
          <w:cols w:equalWidth="0" w:num="1">
            <w:col w:w="10159"/>
          </w:cols>
          <w:pgMar w:left="300" w:top="375" w:right="1440"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3">
                      <a:extLst>
                        <a:ext uri="{28A0092B-C50C-407E-A947-70E740481C1C}"/>
                      </a:extLst>
                    </a:blip>
                    <a:srcRect/>
                    <a:stretch>
                      <a:fillRect/>
                    </a:stretch>
                  </pic:blipFill>
                  <pic:spPr bwMode="auto">
                    <a:xfrm>
                      <a:off x="0" y="0"/>
                      <a:ext cx="7205345" cy="3175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972820</wp:posOffset>
            </wp:positionH>
            <wp:positionV relativeFrom="paragraph">
              <wp:posOffset>184785</wp:posOffset>
            </wp:positionV>
            <wp:extent cx="5221605" cy="127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4">
                      <a:extLst>
                        <a:ext uri="{28A0092B-C50C-407E-A947-70E740481C1C}"/>
                      </a:extLst>
                    </a:blip>
                    <a:srcRect/>
                    <a:stretch>
                      <a:fillRect/>
                    </a:stretch>
                  </pic:blipFill>
                  <pic:spPr bwMode="auto">
                    <a:xfrm>
                      <a:off x="0" y="0"/>
                      <a:ext cx="5221605" cy="12700"/>
                    </a:xfrm>
                    <a:prstGeom prst="rect">
                      <a:avLst/>
                    </a:prstGeom>
                    <a:noFill/>
                  </pic:spPr>
                </pic:pic>
              </a:graphicData>
            </a:graphic>
          </wp:anchor>
        </w:drawing>
        <w:drawing>
          <wp:anchor simplePos="0" relativeHeight="251657728" behindDoc="1" locked="0" layoutInCell="0" allowOverlap="1">
            <wp:simplePos x="0" y="0"/>
            <wp:positionH relativeFrom="column">
              <wp:posOffset>972820</wp:posOffset>
            </wp:positionH>
            <wp:positionV relativeFrom="paragraph">
              <wp:posOffset>222885</wp:posOffset>
            </wp:positionV>
            <wp:extent cx="5221605" cy="63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5">
                      <a:extLst>
                        <a:ext uri="{28A0092B-C50C-407E-A947-70E740481C1C}"/>
                      </a:extLst>
                    </a:blip>
                    <a:srcRect/>
                    <a:stretch>
                      <a:fillRect/>
                    </a:stretch>
                  </pic:blipFill>
                  <pic:spPr bwMode="auto">
                    <a:xfrm>
                      <a:off x="0" y="0"/>
                      <a:ext cx="5221605" cy="6350"/>
                    </a:xfrm>
                    <a:prstGeom prst="rect">
                      <a:avLst/>
                    </a:prstGeom>
                    <a:noFill/>
                  </pic:spPr>
                </pic:pic>
              </a:graphicData>
            </a:graphic>
          </wp:anchor>
        </w:drawing>
        <w:drawing>
          <wp:anchor simplePos="0" relativeHeight="251657728" behindDoc="1" locked="0" layoutInCell="0" allowOverlap="1">
            <wp:simplePos x="0" y="0"/>
            <wp:positionH relativeFrom="column">
              <wp:posOffset>2700655</wp:posOffset>
            </wp:positionH>
            <wp:positionV relativeFrom="paragraph">
              <wp:posOffset>485140</wp:posOffset>
            </wp:positionV>
            <wp:extent cx="1765935" cy="5118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6">
                      <a:extLst>
                        <a:ext uri="{28A0092B-C50C-407E-A947-70E740481C1C}"/>
                      </a:extLst>
                    </a:blip>
                    <a:srcRect/>
                    <a:stretch>
                      <a:fillRect/>
                    </a:stretch>
                  </pic:blipFill>
                  <pic:spPr bwMode="auto">
                    <a:xfrm>
                      <a:off x="0" y="0"/>
                      <a:ext cx="1765935" cy="511810"/>
                    </a:xfrm>
                    <a:prstGeom prst="rect">
                      <a:avLst/>
                    </a:prstGeom>
                    <a:noFill/>
                  </pic:spPr>
                </pic:pic>
              </a:graphicData>
            </a:graphic>
          </wp:anchor>
        </w:drawing>
      </w:r>
    </w:p>
    <w:p>
      <w:pPr>
        <w:sectPr>
          <w:pgSz w:w="11900" w:h="16838" w:orient="portrait"/>
          <w:cols w:equalWidth="0" w:num="1">
            <w:col w:w="10159"/>
          </w:cols>
          <w:pgMar w:left="300" w:top="37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Up to $50,000,000</w:t>
      </w:r>
    </w:p>
    <w:p>
      <w:pPr>
        <w:spacing w:after="0" w:line="2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3033395</wp:posOffset>
            </wp:positionH>
            <wp:positionV relativeFrom="paragraph">
              <wp:posOffset>1356360</wp:posOffset>
            </wp:positionV>
            <wp:extent cx="1100455" cy="63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7">
                      <a:extLst>
                        <a:ext uri="{28A0092B-C50C-407E-A947-70E740481C1C}"/>
                      </a:extLst>
                    </a:blip>
                    <a:srcRect/>
                    <a:stretch>
                      <a:fillRect/>
                    </a:stretch>
                  </pic:blipFill>
                  <pic:spPr bwMode="auto">
                    <a:xfrm>
                      <a:off x="0" y="0"/>
                      <a:ext cx="1100455"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6"/>
          <w:szCs w:val="16"/>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3033395</wp:posOffset>
            </wp:positionH>
            <wp:positionV relativeFrom="paragraph">
              <wp:posOffset>179070</wp:posOffset>
            </wp:positionV>
            <wp:extent cx="1100455" cy="63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8">
                      <a:extLst>
                        <a:ext uri="{28A0092B-C50C-407E-A947-70E740481C1C}"/>
                      </a:extLst>
                    </a:blip>
                    <a:srcRect/>
                    <a:stretch>
                      <a:fillRect/>
                    </a:stretch>
                  </pic:blipFill>
                  <pic:spPr bwMode="auto">
                    <a:xfrm>
                      <a:off x="0" y="0"/>
                      <a:ext cx="1100455"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21"/>
          <w:szCs w:val="21"/>
          <w:b w:val="1"/>
          <w:bCs w:val="1"/>
          <w:color w:val="auto"/>
        </w:rPr>
        <w:t>Jefferies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3033395</wp:posOffset>
            </wp:positionH>
            <wp:positionV relativeFrom="paragraph">
              <wp:posOffset>191135</wp:posOffset>
            </wp:positionV>
            <wp:extent cx="1100455" cy="63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9">
                      <a:extLst>
                        <a:ext uri="{28A0092B-C50C-407E-A947-70E740481C1C}"/>
                      </a:extLst>
                    </a:blip>
                    <a:srcRect/>
                    <a:stretch>
                      <a:fillRect/>
                    </a:stretch>
                  </pic:blipFill>
                  <pic:spPr bwMode="auto">
                    <a:xfrm>
                      <a:off x="0" y="0"/>
                      <a:ext cx="1100455"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b w:val="1"/>
          <w:bCs w:val="1"/>
          <w:color w:val="auto"/>
        </w:rPr>
        <w:t>         ,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972820</wp:posOffset>
            </wp:positionH>
            <wp:positionV relativeFrom="paragraph">
              <wp:posOffset>331470</wp:posOffset>
            </wp:positionV>
            <wp:extent cx="5221605" cy="63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0">
                      <a:extLst>
                        <a:ext uri="{28A0092B-C50C-407E-A947-70E740481C1C}"/>
                      </a:extLst>
                    </a:blip>
                    <a:srcRect/>
                    <a:stretch>
                      <a:fillRect/>
                    </a:stretch>
                  </pic:blipFill>
                  <pic:spPr bwMode="auto">
                    <a:xfrm>
                      <a:off x="0" y="0"/>
                      <a:ext cx="5221605" cy="6350"/>
                    </a:xfrm>
                    <a:prstGeom prst="rect">
                      <a:avLst/>
                    </a:prstGeom>
                    <a:noFill/>
                  </pic:spPr>
                </pic:pic>
              </a:graphicData>
            </a:graphic>
          </wp:anchor>
        </w:drawing>
        <w:drawing>
          <wp:anchor simplePos="0" relativeHeight="251657728" behindDoc="1" locked="0" layoutInCell="0" allowOverlap="1">
            <wp:simplePos x="0" y="0"/>
            <wp:positionH relativeFrom="column">
              <wp:posOffset>972820</wp:posOffset>
            </wp:positionH>
            <wp:positionV relativeFrom="paragraph">
              <wp:posOffset>376555</wp:posOffset>
            </wp:positionV>
            <wp:extent cx="5221605" cy="127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1">
                      <a:extLst>
                        <a:ext uri="{28A0092B-C50C-407E-A947-70E740481C1C}"/>
                      </a:extLst>
                    </a:blip>
                    <a:srcRect/>
                    <a:stretch>
                      <a:fillRect/>
                    </a:stretch>
                  </pic:blipFill>
                  <pic:spPr bwMode="auto">
                    <a:xfrm>
                      <a:off x="0" y="0"/>
                      <a:ext cx="5221605" cy="12700"/>
                    </a:xfrm>
                    <a:prstGeom prst="rect">
                      <a:avLst/>
                    </a:prstGeom>
                    <a:noFill/>
                  </pic:spPr>
                </pic:pic>
              </a:graphicData>
            </a:graphic>
          </wp:anchor>
        </w:drawing>
      </w:r>
    </w:p>
    <w:p>
      <w:pPr>
        <w:sectPr>
          <w:pgSz w:w="11900" w:h="16838" w:orient="portrait"/>
          <w:cols w:equalWidth="0" w:num="1">
            <w:col w:w="10159"/>
          </w:cols>
          <w:pgMar w:left="300" w:top="375" w:right="1440" w:bottom="1440" w:gutter="0" w:footer="0" w:header="0"/>
          <w:type w:val="continuous"/>
        </w:sectPr>
      </w:pPr>
    </w:p>
    <w:bookmarkStart w:id="60" w:name="page61"/>
    <w:bookmarkEnd w:id="60"/>
    <w:p>
      <w:pPr>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1540" w:type="dxa"/>
        <w:tblCellMar>
          <w:top w:w="0" w:type="dxa"/>
          <w:left w:w="0" w:type="dxa"/>
          <w:bottom w:w="0" w:type="dxa"/>
          <w:right w:w="0" w:type="dxa"/>
        </w:tblCellMar>
      </w:tblPr>
      <w:tr>
        <w:trPr>
          <w:trHeight w:val="1552"/>
        </w:trPr>
        <w:tc>
          <w:tcPr>
            <w:tcW w:w="120" w:type="dxa"/>
            <w:vAlign w:val="bottom"/>
            <w:textDirection w:val="btLr"/>
          </w:tcPr>
          <w:p>
            <w:pPr>
              <w:spacing w:after="0"/>
              <w:rPr>
                <w:sz w:val="20"/>
                <w:szCs w:val="20"/>
                <w:color w:val="auto"/>
              </w:rPr>
            </w:pPr>
            <w:r>
              <w:rPr>
                <w:rFonts w:ascii="Arial" w:cs="Arial" w:eastAsia="Arial" w:hAnsi="Arial"/>
                <w:sz w:val="13"/>
                <w:szCs w:val="13"/>
                <w:b w:val="1"/>
                <w:bCs w:val="1"/>
                <w:color w:val="FF4338"/>
              </w:rPr>
              <w:t>securities until the</w:t>
            </w:r>
          </w:p>
        </w:tc>
        <w:tc>
          <w:tcPr>
            <w:tcW w:w="160" w:type="dxa"/>
            <w:vAlign w:val="bottom"/>
            <w:textDirection w:val="btLr"/>
          </w:tcPr>
          <w:p>
            <w:pPr>
              <w:ind w:left="11"/>
              <w:spacing w:after="0"/>
              <w:rPr>
                <w:sz w:val="20"/>
                <w:szCs w:val="20"/>
                <w:color w:val="auto"/>
              </w:rPr>
            </w:pPr>
            <w:r>
              <w:rPr>
                <w:rFonts w:ascii="Arial" w:cs="Arial" w:eastAsia="Arial" w:hAnsi="Arial"/>
                <w:sz w:val="13"/>
                <w:szCs w:val="13"/>
                <w:b w:val="1"/>
                <w:bCs w:val="1"/>
                <w:color w:val="FF4338"/>
              </w:rPr>
              <w:t>not an offer to sell these</w:t>
            </w:r>
          </w:p>
        </w:tc>
        <w:tc>
          <w:tcPr>
            <w:tcW w:w="140" w:type="dxa"/>
            <w:vAlign w:val="bottom"/>
            <w:textDirection w:val="btLr"/>
          </w:tcPr>
          <w:p>
            <w:pPr>
              <w:spacing w:after="0"/>
              <w:rPr>
                <w:sz w:val="20"/>
                <w:szCs w:val="20"/>
                <w:color w:val="auto"/>
              </w:rPr>
            </w:pPr>
            <w:r>
              <w:rPr>
                <w:rFonts w:ascii="Arial" w:cs="Arial" w:eastAsia="Arial" w:hAnsi="Arial"/>
                <w:sz w:val="13"/>
                <w:szCs w:val="13"/>
                <w:b w:val="1"/>
                <w:bCs w:val="1"/>
                <w:color w:val="FF4338"/>
              </w:rPr>
              <w:t>not permitted.</w:t>
            </w:r>
          </w:p>
        </w:tc>
      </w:tr>
      <w:tr>
        <w:trPr>
          <w:trHeight w:val="6770"/>
        </w:trPr>
        <w:tc>
          <w:tcPr>
            <w:tcW w:w="120" w:type="dxa"/>
            <w:vAlign w:val="bottom"/>
            <w:textDirection w:val="btLr"/>
          </w:tcPr>
          <w:p>
            <w:pPr>
              <w:spacing w:after="0"/>
              <w:rPr>
                <w:sz w:val="20"/>
                <w:szCs w:val="20"/>
                <w:color w:val="auto"/>
              </w:rPr>
            </w:pPr>
            <w:r>
              <w:rPr>
                <w:rFonts w:ascii="Arial" w:cs="Arial" w:eastAsia="Arial" w:hAnsi="Arial"/>
                <w:sz w:val="13"/>
                <w:szCs w:val="13"/>
                <w:b w:val="1"/>
                <w:bCs w:val="1"/>
                <w:color w:val="FF4338"/>
              </w:rPr>
              <w:t>The information in this prospectus is not complete and may be changed. The Company may not sell these</w:t>
            </w:r>
          </w:p>
        </w:tc>
        <w:tc>
          <w:tcPr>
            <w:tcW w:w="160" w:type="dxa"/>
            <w:vAlign w:val="bottom"/>
            <w:textDirection w:val="btLr"/>
          </w:tcPr>
          <w:p>
            <w:pPr>
              <w:ind w:left="11"/>
              <w:spacing w:after="0"/>
              <w:rPr>
                <w:sz w:val="20"/>
                <w:szCs w:val="20"/>
                <w:color w:val="auto"/>
              </w:rPr>
            </w:pPr>
            <w:r>
              <w:rPr>
                <w:rFonts w:ascii="Arial" w:cs="Arial" w:eastAsia="Arial" w:hAnsi="Arial"/>
                <w:sz w:val="13"/>
                <w:szCs w:val="13"/>
                <w:b w:val="1"/>
                <w:bCs w:val="1"/>
                <w:color w:val="FF4338"/>
              </w:rPr>
              <w:t>registration statement filed with the Securities and Exchange Commission is effective. This prospectus is</w:t>
            </w:r>
          </w:p>
        </w:tc>
        <w:tc>
          <w:tcPr>
            <w:tcW w:w="140" w:type="dxa"/>
            <w:vAlign w:val="bottom"/>
            <w:textDirection w:val="btLr"/>
          </w:tcPr>
          <w:p>
            <w:pPr>
              <w:spacing w:after="0"/>
              <w:rPr>
                <w:sz w:val="20"/>
                <w:szCs w:val="20"/>
                <w:color w:val="auto"/>
              </w:rPr>
            </w:pPr>
            <w:r>
              <w:rPr>
                <w:rFonts w:ascii="Arial" w:cs="Arial" w:eastAsia="Arial" w:hAnsi="Arial"/>
                <w:sz w:val="13"/>
                <w:szCs w:val="13"/>
                <w:b w:val="1"/>
                <w:bCs w:val="1"/>
                <w:color w:val="FF4338"/>
              </w:rPr>
              <w:t>securities and is not soliciting an offer to buy these securities in any jurisdiction where the offer or sale is</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3"/>
          <w:szCs w:val="13"/>
          <w:b w:val="1"/>
          <w:bCs w:val="1"/>
          <w:color w:val="FF4338"/>
        </w:rPr>
        <w:t>SUBJECT TO COMPLETION, DATED MAY 15,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-1395730</wp:posOffset>
            </wp:positionH>
            <wp:positionV relativeFrom="paragraph">
              <wp:posOffset>-563880</wp:posOffset>
            </wp:positionV>
            <wp:extent cx="7205345" cy="317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2">
                      <a:extLst>
                        <a:ext uri="{28A0092B-C50C-407E-A947-70E740481C1C}"/>
                      </a:extLst>
                    </a:blip>
                    <a:srcRect/>
                    <a:stretch>
                      <a:fillRect/>
                    </a:stretch>
                  </pic:blipFill>
                  <pic:spPr bwMode="auto">
                    <a:xfrm>
                      <a:off x="0" y="0"/>
                      <a:ext cx="7205345" cy="31750"/>
                    </a:xfrm>
                    <a:prstGeom prst="rect">
                      <a:avLst/>
                    </a:prstGeom>
                    <a:noFill/>
                  </pic:spPr>
                </pic:pic>
              </a:graphicData>
            </a:graphic>
          </wp:anchor>
        </w:drawing>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1316355</wp:posOffset>
            </wp:positionH>
            <wp:positionV relativeFrom="paragraph">
              <wp:posOffset>133350</wp:posOffset>
            </wp:positionV>
            <wp:extent cx="1765935" cy="5118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3">
                      <a:extLst>
                        <a:ext uri="{28A0092B-C50C-407E-A947-70E740481C1C}"/>
                      </a:extLst>
                    </a:blip>
                    <a:srcRect/>
                    <a:stretch>
                      <a:fillRect/>
                    </a:stretch>
                  </pic:blipFill>
                  <pic:spPr bwMode="auto">
                    <a:xfrm>
                      <a:off x="0" y="0"/>
                      <a:ext cx="1765935" cy="511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059"/>
        <w:spacing w:after="0"/>
        <w:rPr>
          <w:sz w:val="20"/>
          <w:szCs w:val="20"/>
          <w:color w:val="auto"/>
        </w:rPr>
      </w:pPr>
      <w:r>
        <w:rPr>
          <w:rFonts w:ascii="Times New Roman" w:cs="Times New Roman" w:eastAsia="Times New Roman" w:hAnsi="Times New Roman"/>
          <w:sz w:val="32"/>
          <w:szCs w:val="32"/>
          <w:b w:val="1"/>
          <w:bCs w:val="1"/>
          <w:color w:val="auto"/>
        </w:rPr>
        <w:t>Cibus, Inc.</w:t>
      </w:r>
    </w:p>
    <w:p>
      <w:pPr>
        <w:spacing w:after="0" w:line="18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9"/>
          <w:szCs w:val="19"/>
          <w:b w:val="1"/>
          <w:bCs w:val="1"/>
          <w:color w:val="auto"/>
        </w:rPr>
        <w:t>10,738,040 Shares of Common Stock Underlying Outstanding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1738630</wp:posOffset>
            </wp:positionH>
            <wp:positionV relativeFrom="paragraph">
              <wp:posOffset>187960</wp:posOffset>
            </wp:positionV>
            <wp:extent cx="921385" cy="63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4">
                      <a:extLst>
                        <a:ext uri="{28A0092B-C50C-407E-A947-70E740481C1C}"/>
                      </a:extLst>
                    </a:blip>
                    <a:srcRect/>
                    <a:stretch>
                      <a:fillRect/>
                    </a:stretch>
                  </pic:blipFill>
                  <pic:spPr bwMode="auto">
                    <a:xfrm>
                      <a:off x="0" y="0"/>
                      <a:ext cx="921385" cy="635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ind w:right="1059" w:firstLine="277"/>
        <w:spacing w:after="0" w:line="271" w:lineRule="auto"/>
        <w:rPr>
          <w:sz w:val="20"/>
          <w:szCs w:val="20"/>
          <w:color w:val="auto"/>
        </w:rPr>
      </w:pPr>
      <w:r>
        <w:rPr>
          <w:rFonts w:ascii="Times New Roman" w:cs="Times New Roman" w:eastAsia="Times New Roman" w:hAnsi="Times New Roman"/>
          <w:sz w:val="13"/>
          <w:szCs w:val="13"/>
          <w:color w:val="auto"/>
        </w:rPr>
        <w:t>This prospectus relates to the issuance by Cibus, Inc. (“Cibus” or the “Company”) of up to an aggregate of 10,738,040 shares of its Class A Common Stock, par value $0.0001 per share (the “Class A Common Stock”), issuable upon the exercise of certain outstanding warrants outstanding as of the date hereof that were initially issued by Cibus under its Registration Statement on Form S-3 (Registration No. 333-273062) (collectively, the “Warrants”), including:</w:t>
      </w:r>
    </w:p>
    <w:p>
      <w:pPr>
        <w:spacing w:after="0" w:line="60" w:lineRule="exact"/>
        <w:rPr>
          <w:sz w:val="20"/>
          <w:szCs w:val="20"/>
          <w:color w:val="auto"/>
        </w:rPr>
      </w:pPr>
    </w:p>
    <w:p>
      <w:pPr>
        <w:ind w:left="600" w:right="1139" w:hanging="260"/>
        <w:spacing w:after="0" w:line="271" w:lineRule="auto"/>
        <w:tabs>
          <w:tab w:leader="none" w:pos="600"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1,298,040 shares of Class A Common Stock issuable upon exercise of outstanding common warrants to purchase Class A Common Stock, of which 1,198,040 have an exercise price of $2.50 per share and 100,000 have an exercise price of $10.00 per share, that were originally issued by Cibus on or about June 13, 2024 pursuant to a prospectus dated October 27, 2023 and a related prospectus supplement dated June 11, 2024 (the “2024 Common Warrants”);</w:t>
      </w:r>
    </w:p>
    <w:p>
      <w:pPr>
        <w:spacing w:after="0" w:line="60" w:lineRule="exact"/>
        <w:rPr>
          <w:rFonts w:ascii="Times New Roman" w:cs="Times New Roman" w:eastAsia="Times New Roman" w:hAnsi="Times New Roman"/>
          <w:sz w:val="13"/>
          <w:szCs w:val="13"/>
          <w:color w:val="auto"/>
        </w:rPr>
      </w:pPr>
    </w:p>
    <w:p>
      <w:pPr>
        <w:ind w:left="600" w:right="1219" w:hanging="260"/>
        <w:spacing w:after="0" w:line="271" w:lineRule="auto"/>
        <w:tabs>
          <w:tab w:leader="none" w:pos="600"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9,040,000 shares of Class A Common Stock issuable upon exercise of outstanding common warrants, each with an exercise price of $2.50 per share of Class A Common Stock, that were originally issued by Cibus on or about January 24, 2025 pursuant to a prospectus dated October 27, 2023 and a related prospectus supplement dated January 21, 2025 (the “2025 Common Warrants”); and</w:t>
      </w:r>
    </w:p>
    <w:p>
      <w:pPr>
        <w:spacing w:after="0" w:line="60" w:lineRule="exact"/>
        <w:rPr>
          <w:rFonts w:ascii="Times New Roman" w:cs="Times New Roman" w:eastAsia="Times New Roman" w:hAnsi="Times New Roman"/>
          <w:sz w:val="13"/>
          <w:szCs w:val="13"/>
          <w:color w:val="auto"/>
        </w:rPr>
      </w:pPr>
    </w:p>
    <w:p>
      <w:pPr>
        <w:ind w:left="600" w:right="1079" w:hanging="260"/>
        <w:spacing w:after="0" w:line="275" w:lineRule="auto"/>
        <w:tabs>
          <w:tab w:leader="none" w:pos="600"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400,000 shares of Class A Common Stock issuable upon exercise of outstanding pre-funded warrants, each with an exercise price of $0.0001, that were originally issued by Cibus on or about January 24, 2025 pursuant to a prospectus dated October 27, 2023 and a related prospectus supplement dated January 21, 2025 (the “2025 Pre-Funded Warrants”).</w:t>
      </w:r>
    </w:p>
    <w:p>
      <w:pPr>
        <w:spacing w:after="0" w:line="292" w:lineRule="exact"/>
        <w:rPr>
          <w:sz w:val="20"/>
          <w:szCs w:val="20"/>
          <w:color w:val="auto"/>
        </w:rPr>
      </w:pPr>
    </w:p>
    <w:p>
      <w:pPr>
        <w:ind w:right="1159" w:firstLine="277"/>
        <w:spacing w:after="0" w:line="271" w:lineRule="auto"/>
        <w:rPr>
          <w:sz w:val="20"/>
          <w:szCs w:val="20"/>
          <w:color w:val="auto"/>
        </w:rPr>
      </w:pPr>
      <w:r>
        <w:rPr>
          <w:rFonts w:ascii="Times New Roman" w:cs="Times New Roman" w:eastAsia="Times New Roman" w:hAnsi="Times New Roman"/>
          <w:sz w:val="13"/>
          <w:szCs w:val="13"/>
          <w:color w:val="auto"/>
        </w:rPr>
        <w:t>The 2024 Common Warrants were immediately exercisable, with an expiration date five years after their date of issuance. The 2025 Common Warrants became exercisable on May 22, 2025 and expire five years after that date. The 2025 Pre-Funded Warrants were immediately exercisable and are exercisable until fully exercised. Each of the Warrants is subject to certain beneficial ownership limitations. See “Description of Warrants.”</w:t>
      </w:r>
    </w:p>
    <w:p>
      <w:pPr>
        <w:spacing w:after="0" w:line="131" w:lineRule="exact"/>
        <w:rPr>
          <w:sz w:val="20"/>
          <w:szCs w:val="20"/>
          <w:color w:val="auto"/>
        </w:rPr>
      </w:pPr>
    </w:p>
    <w:p>
      <w:pPr>
        <w:ind w:right="1099" w:firstLine="277"/>
        <w:spacing w:after="0" w:line="297" w:lineRule="auto"/>
        <w:rPr>
          <w:sz w:val="20"/>
          <w:szCs w:val="20"/>
          <w:color w:val="auto"/>
        </w:rPr>
      </w:pPr>
      <w:r>
        <w:rPr>
          <w:rFonts w:ascii="Times New Roman" w:cs="Times New Roman" w:eastAsia="Times New Roman" w:hAnsi="Times New Roman"/>
          <w:sz w:val="13"/>
          <w:szCs w:val="13"/>
          <w:color w:val="auto"/>
        </w:rPr>
        <w:t>The Company will receive the proceeds from the exercise of the Warrants but not from any sale of the underlying shares of Class A Common Stock.</w:t>
      </w:r>
    </w:p>
    <w:p>
      <w:pPr>
        <w:spacing w:after="0" w:line="11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3"/>
          <w:szCs w:val="13"/>
          <w:color w:val="auto"/>
        </w:rPr>
        <w:t>The Company’s Class A Common Stock is traded on the Nasdaq Capital Market (“Nasdaq”) under the symbol “CBUS”.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closing price for the Company’s Class A Common Stock on May 14, 2026 was $1.41 per share, as reported on Nasdaq.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1738630</wp:posOffset>
            </wp:positionH>
            <wp:positionV relativeFrom="paragraph">
              <wp:posOffset>173990</wp:posOffset>
            </wp:positionV>
            <wp:extent cx="921385" cy="63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5">
                      <a:extLst>
                        <a:ext uri="{28A0092B-C50C-407E-A947-70E740481C1C}"/>
                      </a:extLst>
                    </a:blip>
                    <a:srcRect/>
                    <a:stretch>
                      <a:fillRect/>
                    </a:stretch>
                  </pic:blipFill>
                  <pic:spPr bwMode="auto">
                    <a:xfrm>
                      <a:off x="0" y="0"/>
                      <a:ext cx="921385" cy="635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ind w:right="1139" w:firstLine="277"/>
        <w:spacing w:after="0" w:line="281" w:lineRule="auto"/>
        <w:rPr>
          <w:sz w:val="20"/>
          <w:szCs w:val="20"/>
          <w:color w:val="auto"/>
        </w:rPr>
      </w:pPr>
      <w:r>
        <w:rPr>
          <w:rFonts w:ascii="Times New Roman" w:cs="Times New Roman" w:eastAsia="Times New Roman" w:hAnsi="Times New Roman"/>
          <w:sz w:val="13"/>
          <w:szCs w:val="13"/>
          <w:b w:val="1"/>
          <w:bCs w:val="1"/>
          <w:color w:val="auto"/>
        </w:rPr>
        <w:t>Investing in the Company’s securities involves risks. See “</w:t>
      </w:r>
      <w:r>
        <w:rPr>
          <w:rFonts w:ascii="Times New Roman" w:cs="Times New Roman" w:eastAsia="Times New Roman" w:hAnsi="Times New Roman"/>
          <w:sz w:val="13"/>
          <w:szCs w:val="13"/>
          <w:b w:val="1"/>
          <w:bCs w:val="1"/>
          <w:u w:val="single" w:color="auto"/>
          <w:color w:val="0000EE"/>
        </w:rPr>
        <w:t>Risk Factors</w:t>
      </w:r>
      <w:r>
        <w:rPr>
          <w:rFonts w:ascii="Times New Roman" w:cs="Times New Roman" w:eastAsia="Times New Roman" w:hAnsi="Times New Roman"/>
          <w:sz w:val="13"/>
          <w:szCs w:val="13"/>
          <w:b w:val="1"/>
          <w:bCs w:val="1"/>
          <w:color w:val="auto"/>
        </w:rPr>
        <w:t>” beginning on page 4 of this prospectus and the documents incorporated by reference for a discussion of facts you should carefully consider before investing in the securities.</w:t>
      </w:r>
    </w:p>
    <w:p>
      <w:pPr>
        <w:spacing w:after="0" w:line="120" w:lineRule="exact"/>
        <w:rPr>
          <w:sz w:val="20"/>
          <w:szCs w:val="20"/>
          <w:color w:val="auto"/>
        </w:rPr>
      </w:pPr>
    </w:p>
    <w:p>
      <w:pPr>
        <w:jc w:val="both"/>
        <w:ind w:right="1099" w:firstLine="277"/>
        <w:spacing w:after="0" w:line="281" w:lineRule="auto"/>
        <w:rPr>
          <w:sz w:val="20"/>
          <w:szCs w:val="20"/>
          <w:color w:val="auto"/>
        </w:rPr>
      </w:pPr>
      <w:r>
        <w:rPr>
          <w:rFonts w:ascii="Times New Roman" w:cs="Times New Roman" w:eastAsia="Times New Roman" w:hAnsi="Times New Roman"/>
          <w:sz w:val="13"/>
          <w:szCs w:val="13"/>
          <w:b w:val="1"/>
          <w:bCs w:val="1"/>
          <w:color w:val="auto"/>
        </w:rPr>
        <w:t>Neither the Securities and Exchange Commission nor any state securities commission has approved or disapproved of the securities or determined if this prospectus is truthful or complete. Any representation to the contrary is a criminal offense.</w:t>
      </w:r>
    </w:p>
    <w:p>
      <w:pPr>
        <w:spacing w:after="0" w:line="120"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3"/>
          <w:szCs w:val="13"/>
          <w:b w:val="1"/>
          <w:bCs w:val="1"/>
          <w:color w:val="auto"/>
        </w:rPr>
        <w:t>The date of this prospectus is             , 2026.</w:t>
      </w:r>
    </w:p>
    <w:p>
      <w:pPr>
        <w:sectPr>
          <w:pgSz w:w="11900" w:h="16838" w:orient="portrait"/>
          <w:cols w:equalWidth="0" w:num="2">
            <w:col w:w="1960" w:space="220"/>
            <w:col w:w="7979"/>
          </w:cols>
          <w:pgMar w:left="300" w:top="375" w:right="1440"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6">
                      <a:extLst>
                        <a:ext uri="{28A0092B-C50C-407E-A947-70E740481C1C}"/>
                      </a:extLst>
                    </a:blip>
                    <a:srcRect/>
                    <a:stretch>
                      <a:fillRect/>
                    </a:stretch>
                  </pic:blipFill>
                  <pic:spPr bwMode="auto">
                    <a:xfrm>
                      <a:off x="0" y="0"/>
                      <a:ext cx="7205345" cy="31750"/>
                    </a:xfrm>
                    <a:prstGeom prst="rect">
                      <a:avLst/>
                    </a:prstGeom>
                    <a:noFill/>
                  </pic:spPr>
                </pic:pic>
              </a:graphicData>
            </a:graphic>
          </wp:anchor>
        </w:drawing>
        <w:t>Table of Contents</w:t>
      </w:r>
    </w:p>
    <w:p>
      <w:pPr>
        <w:spacing w:after="0" w:line="244" w:lineRule="exact"/>
        <w:rPr>
          <w:sz w:val="20"/>
          <w:szCs w:val="20"/>
          <w:color w:val="auto"/>
        </w:rPr>
      </w:pPr>
    </w:p>
    <w:tbl>
      <w:tblPr>
        <w:tblLayout w:type="fixed"/>
        <w:tblInd w:w="1540" w:type="dxa"/>
        <w:tblCellMar>
          <w:top w:w="0" w:type="dxa"/>
          <w:left w:w="0" w:type="dxa"/>
          <w:bottom w:w="0" w:type="dxa"/>
          <w:right w:w="0" w:type="dxa"/>
        </w:tblCellMar>
      </w:tblPr>
      <w:tr>
        <w:trPr>
          <w:trHeight w:val="178"/>
        </w:trPr>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660" w:type="dxa"/>
            <w:vAlign w:val="bottom"/>
            <w:gridSpan w:val="4"/>
          </w:tcPr>
          <w:p>
            <w:pPr>
              <w:ind w:left="100"/>
              <w:spacing w:after="0"/>
              <w:rPr>
                <w:sz w:val="20"/>
                <w:szCs w:val="20"/>
                <w:color w:val="auto"/>
              </w:rPr>
            </w:pPr>
            <w:r>
              <w:rPr>
                <w:rFonts w:ascii="Times New Roman" w:cs="Times New Roman" w:eastAsia="Times New Roman" w:hAnsi="Times New Roman"/>
                <w:sz w:val="13"/>
                <w:szCs w:val="13"/>
                <w:b w:val="1"/>
                <w:bCs w:val="1"/>
                <w:color w:val="auto"/>
              </w:rPr>
              <w:t>TABLE OF CONTENTS</w:t>
            </w:r>
          </w:p>
        </w:tc>
        <w:tc>
          <w:tcPr>
            <w:tcW w:w="1240" w:type="dxa"/>
            <w:vAlign w:val="bottom"/>
          </w:tcPr>
          <w:p>
            <w:pPr>
              <w:spacing w:after="0"/>
              <w:rPr>
                <w:sz w:val="15"/>
                <w:szCs w:val="15"/>
                <w:color w:val="auto"/>
              </w:rPr>
            </w:pPr>
          </w:p>
        </w:tc>
      </w:tr>
      <w:tr>
        <w:trPr>
          <w:trHeight w:val="313"/>
        </w:trPr>
        <w:tc>
          <w:tcPr>
            <w:tcW w:w="166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3"/>
                <w:szCs w:val="13"/>
                <w:color w:val="0000EE"/>
              </w:rPr>
              <w:t>ABOUT THIS PROSPECTUS</w:t>
            </w:r>
          </w:p>
        </w:tc>
        <w:tc>
          <w:tcPr>
            <w:tcW w:w="5280" w:type="dxa"/>
            <w:vAlign w:val="bottom"/>
            <w:gridSpan w:val="7"/>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ii</w:t>
            </w:r>
          </w:p>
        </w:tc>
      </w:tr>
      <w:tr>
        <w:trPr>
          <w:trHeight w:val="141"/>
        </w:trPr>
        <w:tc>
          <w:tcPr>
            <w:tcW w:w="680" w:type="dxa"/>
            <w:vAlign w:val="bottom"/>
            <w:tcBorders>
              <w:bottom w:val="single" w:sz="8" w:color="0000EE"/>
            </w:tcBorders>
            <w:gridSpan w:val="3"/>
          </w:tcPr>
          <w:p>
            <w:pPr>
              <w:spacing w:after="0" w:line="141" w:lineRule="exact"/>
              <w:rPr>
                <w:sz w:val="20"/>
                <w:szCs w:val="20"/>
                <w:color w:val="auto"/>
              </w:rPr>
            </w:pPr>
            <w:r>
              <w:rPr>
                <w:rFonts w:ascii="Times New Roman" w:cs="Times New Roman" w:eastAsia="Times New Roman" w:hAnsi="Times New Roman"/>
                <w:sz w:val="13"/>
                <w:szCs w:val="13"/>
                <w:color w:val="0000EE"/>
                <w:w w:val="98"/>
              </w:rPr>
              <w:t>SUMMARY</w:t>
            </w:r>
          </w:p>
        </w:tc>
        <w:tc>
          <w:tcPr>
            <w:tcW w:w="6260" w:type="dxa"/>
            <w:vAlign w:val="bottom"/>
            <w:gridSpan w:val="13"/>
          </w:tcPr>
          <w:p>
            <w:pPr>
              <w:spacing w:after="0"/>
              <w:rPr>
                <w:sz w:val="12"/>
                <w:szCs w:val="12"/>
                <w:color w:val="auto"/>
              </w:rPr>
            </w:pPr>
          </w:p>
        </w:tc>
        <w:tc>
          <w:tcPr>
            <w:tcW w:w="1240" w:type="dxa"/>
            <w:vAlign w:val="bottom"/>
          </w:tcPr>
          <w:p>
            <w:pPr>
              <w:jc w:val="right"/>
              <w:spacing w:after="0" w:line="141" w:lineRule="exact"/>
              <w:rPr>
                <w:sz w:val="20"/>
                <w:szCs w:val="20"/>
                <w:color w:val="auto"/>
              </w:rPr>
            </w:pPr>
            <w:r>
              <w:rPr>
                <w:rFonts w:ascii="Times New Roman" w:cs="Times New Roman" w:eastAsia="Times New Roman" w:hAnsi="Times New Roman"/>
                <w:sz w:val="13"/>
                <w:szCs w:val="13"/>
                <w:color w:val="auto"/>
              </w:rPr>
              <w:t>1</w:t>
            </w:r>
          </w:p>
        </w:tc>
      </w:tr>
      <w:tr>
        <w:trPr>
          <w:trHeight w:val="141"/>
        </w:trPr>
        <w:tc>
          <w:tcPr>
            <w:tcW w:w="6940" w:type="dxa"/>
            <w:vAlign w:val="bottom"/>
            <w:gridSpan w:val="16"/>
          </w:tcPr>
          <w:p>
            <w:pPr>
              <w:spacing w:after="0" w:line="141" w:lineRule="exact"/>
              <w:rPr>
                <w:sz w:val="20"/>
                <w:szCs w:val="20"/>
                <w:color w:val="auto"/>
              </w:rPr>
            </w:pPr>
            <w:r>
              <w:rPr>
                <w:rFonts w:ascii="Times New Roman" w:cs="Times New Roman" w:eastAsia="Times New Roman" w:hAnsi="Times New Roman"/>
                <w:sz w:val="13"/>
                <w:szCs w:val="13"/>
                <w:color w:val="0000EE"/>
              </w:rPr>
              <w:t>THE OFFERING</w:t>
            </w:r>
          </w:p>
        </w:tc>
        <w:tc>
          <w:tcPr>
            <w:tcW w:w="1240" w:type="dxa"/>
            <w:vAlign w:val="bottom"/>
          </w:tcPr>
          <w:p>
            <w:pPr>
              <w:jc w:val="right"/>
              <w:spacing w:after="0" w:line="141" w:lineRule="exact"/>
              <w:rPr>
                <w:sz w:val="20"/>
                <w:szCs w:val="20"/>
                <w:color w:val="auto"/>
              </w:rPr>
            </w:pPr>
            <w:r>
              <w:rPr>
                <w:rFonts w:ascii="Times New Roman" w:cs="Times New Roman" w:eastAsia="Times New Roman" w:hAnsi="Times New Roman"/>
                <w:sz w:val="13"/>
                <w:szCs w:val="13"/>
                <w:color w:val="auto"/>
              </w:rPr>
              <w:t>3</w:t>
            </w:r>
          </w:p>
        </w:tc>
      </w:tr>
      <w:tr>
        <w:trPr>
          <w:trHeight w:val="141"/>
        </w:trPr>
        <w:tc>
          <w:tcPr>
            <w:tcW w:w="940" w:type="dxa"/>
            <w:vAlign w:val="bottom"/>
            <w:tcBorders>
              <w:top w:val="single" w:sz="8" w:color="0000EE"/>
            </w:tcBorders>
            <w:gridSpan w:val="5"/>
          </w:tcPr>
          <w:p>
            <w:pPr>
              <w:spacing w:after="0" w:line="141" w:lineRule="exact"/>
              <w:rPr>
                <w:sz w:val="20"/>
                <w:szCs w:val="20"/>
                <w:color w:val="auto"/>
              </w:rPr>
            </w:pPr>
            <w:r>
              <w:rPr>
                <w:rFonts w:ascii="Times New Roman" w:cs="Times New Roman" w:eastAsia="Times New Roman" w:hAnsi="Times New Roman"/>
                <w:sz w:val="13"/>
                <w:szCs w:val="13"/>
                <w:color w:val="0000EE"/>
              </w:rPr>
              <w:t>RISK FACTORS</w:t>
            </w:r>
          </w:p>
        </w:tc>
        <w:tc>
          <w:tcPr>
            <w:tcW w:w="6000" w:type="dxa"/>
            <w:vAlign w:val="bottom"/>
            <w:gridSpan w:val="11"/>
          </w:tcPr>
          <w:p>
            <w:pPr>
              <w:spacing w:after="0"/>
              <w:rPr>
                <w:sz w:val="12"/>
                <w:szCs w:val="12"/>
                <w:color w:val="auto"/>
              </w:rPr>
            </w:pPr>
          </w:p>
        </w:tc>
        <w:tc>
          <w:tcPr>
            <w:tcW w:w="1240" w:type="dxa"/>
            <w:vAlign w:val="bottom"/>
          </w:tcPr>
          <w:p>
            <w:pPr>
              <w:jc w:val="right"/>
              <w:spacing w:after="0" w:line="141" w:lineRule="exact"/>
              <w:rPr>
                <w:sz w:val="20"/>
                <w:szCs w:val="20"/>
                <w:color w:val="auto"/>
              </w:rPr>
            </w:pPr>
            <w:r>
              <w:rPr>
                <w:rFonts w:ascii="Times New Roman" w:cs="Times New Roman" w:eastAsia="Times New Roman" w:hAnsi="Times New Roman"/>
                <w:sz w:val="13"/>
                <w:szCs w:val="13"/>
                <w:color w:val="auto"/>
              </w:rPr>
              <w:t>4</w:t>
            </w:r>
          </w:p>
        </w:tc>
      </w:tr>
      <w:tr>
        <w:trPr>
          <w:trHeight w:val="20"/>
        </w:trPr>
        <w:tc>
          <w:tcPr>
            <w:tcW w:w="5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41"/>
        </w:trPr>
        <w:tc>
          <w:tcPr>
            <w:tcW w:w="6940" w:type="dxa"/>
            <w:vAlign w:val="bottom"/>
            <w:gridSpan w:val="16"/>
          </w:tcPr>
          <w:p>
            <w:pPr>
              <w:spacing w:after="0" w:line="141" w:lineRule="exact"/>
              <w:rPr>
                <w:sz w:val="20"/>
                <w:szCs w:val="20"/>
                <w:color w:val="auto"/>
              </w:rPr>
            </w:pPr>
            <w:r>
              <w:rPr>
                <w:rFonts w:ascii="Times New Roman" w:cs="Times New Roman" w:eastAsia="Times New Roman" w:hAnsi="Times New Roman"/>
                <w:sz w:val="13"/>
                <w:szCs w:val="13"/>
                <w:color w:val="0000EE"/>
              </w:rPr>
              <w:t>CAUTIONARY NOTE REGARDING FORWARD-LOOKING STATEMENTS</w:t>
            </w:r>
          </w:p>
        </w:tc>
        <w:tc>
          <w:tcPr>
            <w:tcW w:w="1240" w:type="dxa"/>
            <w:vAlign w:val="bottom"/>
          </w:tcPr>
          <w:p>
            <w:pPr>
              <w:jc w:val="right"/>
              <w:spacing w:after="0" w:line="141" w:lineRule="exact"/>
              <w:rPr>
                <w:sz w:val="20"/>
                <w:szCs w:val="20"/>
                <w:color w:val="auto"/>
              </w:rPr>
            </w:pPr>
            <w:r>
              <w:rPr>
                <w:rFonts w:ascii="Times New Roman" w:cs="Times New Roman" w:eastAsia="Times New Roman" w:hAnsi="Times New Roman"/>
                <w:sz w:val="13"/>
                <w:szCs w:val="13"/>
                <w:color w:val="auto"/>
              </w:rPr>
              <w:t>7</w:t>
            </w:r>
          </w:p>
        </w:tc>
      </w:tr>
      <w:tr>
        <w:trPr>
          <w:trHeight w:val="141"/>
        </w:trPr>
        <w:tc>
          <w:tcPr>
            <w:tcW w:w="1180" w:type="dxa"/>
            <w:vAlign w:val="bottom"/>
            <w:tcBorders>
              <w:top w:val="single" w:sz="8" w:color="0000EE"/>
              <w:bottom w:val="single" w:sz="8" w:color="0000EE"/>
            </w:tcBorders>
            <w:gridSpan w:val="7"/>
          </w:tcPr>
          <w:p>
            <w:pPr>
              <w:spacing w:after="0" w:line="141" w:lineRule="exact"/>
              <w:rPr>
                <w:sz w:val="20"/>
                <w:szCs w:val="20"/>
                <w:color w:val="auto"/>
              </w:rPr>
            </w:pPr>
            <w:r>
              <w:rPr>
                <w:rFonts w:ascii="Times New Roman" w:cs="Times New Roman" w:eastAsia="Times New Roman" w:hAnsi="Times New Roman"/>
                <w:sz w:val="13"/>
                <w:szCs w:val="13"/>
                <w:color w:val="0000EE"/>
              </w:rPr>
              <w:t>USE OF PROCEEDS</w:t>
            </w:r>
          </w:p>
        </w:tc>
        <w:tc>
          <w:tcPr>
            <w:tcW w:w="3120" w:type="dxa"/>
            <w:vAlign w:val="bottom"/>
            <w:tcBorders>
              <w:top w:val="single" w:sz="8" w:color="0000EE"/>
            </w:tcBorders>
            <w:gridSpan w:val="7"/>
          </w:tcPr>
          <w:p>
            <w:pPr>
              <w:spacing w:after="0"/>
              <w:rPr>
                <w:sz w:val="12"/>
                <w:szCs w:val="12"/>
                <w:color w:val="auto"/>
              </w:rPr>
            </w:pPr>
          </w:p>
        </w:tc>
        <w:tc>
          <w:tcPr>
            <w:tcW w:w="2640" w:type="dxa"/>
            <w:vAlign w:val="bottom"/>
            <w:gridSpan w:val="2"/>
          </w:tcPr>
          <w:p>
            <w:pPr>
              <w:spacing w:after="0"/>
              <w:rPr>
                <w:sz w:val="12"/>
                <w:szCs w:val="12"/>
                <w:color w:val="auto"/>
              </w:rPr>
            </w:pPr>
          </w:p>
        </w:tc>
        <w:tc>
          <w:tcPr>
            <w:tcW w:w="1240" w:type="dxa"/>
            <w:vAlign w:val="bottom"/>
          </w:tcPr>
          <w:p>
            <w:pPr>
              <w:jc w:val="right"/>
              <w:spacing w:after="0" w:line="141" w:lineRule="exact"/>
              <w:rPr>
                <w:sz w:val="20"/>
                <w:szCs w:val="20"/>
                <w:color w:val="auto"/>
              </w:rPr>
            </w:pPr>
            <w:r>
              <w:rPr>
                <w:rFonts w:ascii="Times New Roman" w:cs="Times New Roman" w:eastAsia="Times New Roman" w:hAnsi="Times New Roman"/>
                <w:sz w:val="13"/>
                <w:szCs w:val="13"/>
                <w:color w:val="auto"/>
              </w:rPr>
              <w:t>9</w:t>
            </w:r>
          </w:p>
        </w:tc>
      </w:tr>
      <w:tr>
        <w:trPr>
          <w:trHeight w:val="141"/>
        </w:trPr>
        <w:tc>
          <w:tcPr>
            <w:tcW w:w="2140" w:type="dxa"/>
            <w:vAlign w:val="bottom"/>
            <w:tcBorders>
              <w:bottom w:val="single" w:sz="8" w:color="0000EE"/>
            </w:tcBorders>
            <w:gridSpan w:val="11"/>
          </w:tcPr>
          <w:p>
            <w:pPr>
              <w:spacing w:after="0" w:line="141" w:lineRule="exact"/>
              <w:rPr>
                <w:sz w:val="20"/>
                <w:szCs w:val="20"/>
                <w:color w:val="auto"/>
              </w:rPr>
            </w:pPr>
            <w:r>
              <w:rPr>
                <w:rFonts w:ascii="Times New Roman" w:cs="Times New Roman" w:eastAsia="Times New Roman" w:hAnsi="Times New Roman"/>
                <w:sz w:val="13"/>
                <w:szCs w:val="13"/>
                <w:color w:val="0000EE"/>
              </w:rPr>
              <w:t>DESCRIPTION OF CAPITAL STOCK</w:t>
            </w:r>
          </w:p>
        </w:tc>
        <w:tc>
          <w:tcPr>
            <w:tcW w:w="4800" w:type="dxa"/>
            <w:vAlign w:val="bottom"/>
            <w:gridSpan w:val="5"/>
          </w:tcPr>
          <w:p>
            <w:pPr>
              <w:spacing w:after="0"/>
              <w:rPr>
                <w:sz w:val="12"/>
                <w:szCs w:val="12"/>
                <w:color w:val="auto"/>
              </w:rPr>
            </w:pPr>
          </w:p>
        </w:tc>
        <w:tc>
          <w:tcPr>
            <w:tcW w:w="1240" w:type="dxa"/>
            <w:vAlign w:val="bottom"/>
          </w:tcPr>
          <w:p>
            <w:pPr>
              <w:jc w:val="right"/>
              <w:spacing w:after="0" w:line="141" w:lineRule="exact"/>
              <w:rPr>
                <w:sz w:val="20"/>
                <w:szCs w:val="20"/>
                <w:color w:val="auto"/>
              </w:rPr>
            </w:pPr>
            <w:r>
              <w:rPr>
                <w:rFonts w:ascii="Times New Roman" w:cs="Times New Roman" w:eastAsia="Times New Roman" w:hAnsi="Times New Roman"/>
                <w:sz w:val="13"/>
                <w:szCs w:val="13"/>
                <w:color w:val="auto"/>
              </w:rPr>
              <w:t>10</w:t>
            </w:r>
          </w:p>
        </w:tc>
      </w:tr>
      <w:tr>
        <w:trPr>
          <w:trHeight w:val="141"/>
        </w:trPr>
        <w:tc>
          <w:tcPr>
            <w:tcW w:w="6940" w:type="dxa"/>
            <w:vAlign w:val="bottom"/>
            <w:gridSpan w:val="16"/>
          </w:tcPr>
          <w:p>
            <w:pPr>
              <w:spacing w:after="0" w:line="141" w:lineRule="exact"/>
              <w:rPr>
                <w:sz w:val="20"/>
                <w:szCs w:val="20"/>
                <w:color w:val="auto"/>
              </w:rPr>
            </w:pPr>
            <w:r>
              <w:rPr>
                <w:rFonts w:ascii="Times New Roman" w:cs="Times New Roman" w:eastAsia="Times New Roman" w:hAnsi="Times New Roman"/>
                <w:sz w:val="13"/>
                <w:szCs w:val="13"/>
                <w:color w:val="0000EE"/>
              </w:rPr>
              <w:t>DESCRIPTION OF WARRANTS</w:t>
            </w:r>
          </w:p>
        </w:tc>
        <w:tc>
          <w:tcPr>
            <w:tcW w:w="1240" w:type="dxa"/>
            <w:vAlign w:val="bottom"/>
          </w:tcPr>
          <w:p>
            <w:pPr>
              <w:jc w:val="right"/>
              <w:spacing w:after="0" w:line="141" w:lineRule="exact"/>
              <w:rPr>
                <w:sz w:val="20"/>
                <w:szCs w:val="20"/>
                <w:color w:val="auto"/>
              </w:rPr>
            </w:pPr>
            <w:r>
              <w:rPr>
                <w:rFonts w:ascii="Times New Roman" w:cs="Times New Roman" w:eastAsia="Times New Roman" w:hAnsi="Times New Roman"/>
                <w:sz w:val="13"/>
                <w:szCs w:val="13"/>
                <w:color w:val="auto"/>
              </w:rPr>
              <w:t>16</w:t>
            </w:r>
          </w:p>
        </w:tc>
      </w:tr>
      <w:tr>
        <w:trPr>
          <w:trHeight w:val="141"/>
        </w:trPr>
        <w:tc>
          <w:tcPr>
            <w:tcW w:w="640" w:type="dxa"/>
            <w:vAlign w:val="bottom"/>
            <w:tcBorders>
              <w:top w:val="single" w:sz="8" w:color="0000EE"/>
              <w:bottom w:val="single" w:sz="8" w:color="0000EE"/>
            </w:tcBorders>
            <w:gridSpan w:val="2"/>
          </w:tcPr>
          <w:p>
            <w:pPr>
              <w:spacing w:after="0" w:line="141" w:lineRule="exact"/>
              <w:rPr>
                <w:sz w:val="20"/>
                <w:szCs w:val="20"/>
                <w:color w:val="auto"/>
              </w:rPr>
            </w:pPr>
            <w:r>
              <w:rPr>
                <w:rFonts w:ascii="Times New Roman" w:cs="Times New Roman" w:eastAsia="Times New Roman" w:hAnsi="Times New Roman"/>
                <w:sz w:val="13"/>
                <w:szCs w:val="13"/>
                <w:color w:val="0000EE"/>
                <w:w w:val="99"/>
              </w:rPr>
              <w:t>DILUTION</w:t>
            </w:r>
          </w:p>
        </w:tc>
        <w:tc>
          <w:tcPr>
            <w:tcW w:w="1200" w:type="dxa"/>
            <w:vAlign w:val="bottom"/>
            <w:tcBorders>
              <w:top w:val="single" w:sz="8" w:color="0000EE"/>
            </w:tcBorders>
            <w:gridSpan w:val="8"/>
          </w:tcPr>
          <w:p>
            <w:pPr>
              <w:spacing w:after="0"/>
              <w:rPr>
                <w:sz w:val="12"/>
                <w:szCs w:val="12"/>
                <w:color w:val="auto"/>
              </w:rPr>
            </w:pPr>
          </w:p>
        </w:tc>
        <w:tc>
          <w:tcPr>
            <w:tcW w:w="5100" w:type="dxa"/>
            <w:vAlign w:val="bottom"/>
            <w:gridSpan w:val="6"/>
          </w:tcPr>
          <w:p>
            <w:pPr>
              <w:spacing w:after="0"/>
              <w:rPr>
                <w:sz w:val="12"/>
                <w:szCs w:val="12"/>
                <w:color w:val="auto"/>
              </w:rPr>
            </w:pPr>
          </w:p>
        </w:tc>
        <w:tc>
          <w:tcPr>
            <w:tcW w:w="1240" w:type="dxa"/>
            <w:vAlign w:val="bottom"/>
          </w:tcPr>
          <w:p>
            <w:pPr>
              <w:jc w:val="right"/>
              <w:spacing w:after="0" w:line="141" w:lineRule="exact"/>
              <w:rPr>
                <w:sz w:val="20"/>
                <w:szCs w:val="20"/>
                <w:color w:val="auto"/>
              </w:rPr>
            </w:pPr>
            <w:r>
              <w:rPr>
                <w:rFonts w:ascii="Times New Roman" w:cs="Times New Roman" w:eastAsia="Times New Roman" w:hAnsi="Times New Roman"/>
                <w:sz w:val="13"/>
                <w:szCs w:val="13"/>
                <w:color w:val="auto"/>
              </w:rPr>
              <w:t>25</w:t>
            </w:r>
          </w:p>
        </w:tc>
      </w:tr>
      <w:tr>
        <w:trPr>
          <w:trHeight w:val="141"/>
        </w:trPr>
        <w:tc>
          <w:tcPr>
            <w:tcW w:w="6940" w:type="dxa"/>
            <w:vAlign w:val="bottom"/>
            <w:gridSpan w:val="16"/>
          </w:tcPr>
          <w:p>
            <w:pPr>
              <w:spacing w:after="0" w:line="141" w:lineRule="exact"/>
              <w:rPr>
                <w:sz w:val="20"/>
                <w:szCs w:val="20"/>
                <w:color w:val="auto"/>
              </w:rPr>
            </w:pPr>
            <w:r>
              <w:rPr>
                <w:rFonts w:ascii="Times New Roman" w:cs="Times New Roman" w:eastAsia="Times New Roman" w:hAnsi="Times New Roman"/>
                <w:sz w:val="13"/>
                <w:szCs w:val="13"/>
                <w:color w:val="0000EE"/>
              </w:rPr>
              <w:t>PLAN OF DISTRIBUTION</w:t>
            </w:r>
          </w:p>
        </w:tc>
        <w:tc>
          <w:tcPr>
            <w:tcW w:w="1240" w:type="dxa"/>
            <w:vAlign w:val="bottom"/>
          </w:tcPr>
          <w:p>
            <w:pPr>
              <w:jc w:val="right"/>
              <w:spacing w:after="0" w:line="141" w:lineRule="exact"/>
              <w:rPr>
                <w:sz w:val="20"/>
                <w:szCs w:val="20"/>
                <w:color w:val="auto"/>
              </w:rPr>
            </w:pPr>
            <w:r>
              <w:rPr>
                <w:rFonts w:ascii="Times New Roman" w:cs="Times New Roman" w:eastAsia="Times New Roman" w:hAnsi="Times New Roman"/>
                <w:sz w:val="13"/>
                <w:szCs w:val="13"/>
                <w:color w:val="auto"/>
              </w:rPr>
              <w:t>27</w:t>
            </w:r>
          </w:p>
        </w:tc>
      </w:tr>
      <w:tr>
        <w:trPr>
          <w:trHeight w:val="20"/>
        </w:trPr>
        <w:tc>
          <w:tcPr>
            <w:tcW w:w="560" w:type="dxa"/>
            <w:vAlign w:val="bottom"/>
            <w:shd w:val="clear" w:color="auto" w:fill="0000EE"/>
          </w:tcPr>
          <w:p>
            <w:pPr>
              <w:spacing w:after="0" w:line="20" w:lineRule="exact"/>
              <w:rPr>
                <w:sz w:val="1"/>
                <w:szCs w:val="1"/>
                <w:color w:val="auto"/>
              </w:rPr>
            </w:pPr>
          </w:p>
        </w:tc>
        <w:tc>
          <w:tcPr>
            <w:tcW w:w="520" w:type="dxa"/>
            <w:vAlign w:val="bottom"/>
            <w:gridSpan w:val="5"/>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760" w:type="dxa"/>
            <w:vAlign w:val="bottom"/>
            <w:gridSpan w:val="4"/>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41"/>
        </w:trPr>
        <w:tc>
          <w:tcPr>
            <w:tcW w:w="6940" w:type="dxa"/>
            <w:vAlign w:val="bottom"/>
            <w:gridSpan w:val="16"/>
          </w:tcPr>
          <w:p>
            <w:pPr>
              <w:spacing w:after="0" w:line="141" w:lineRule="exact"/>
              <w:rPr>
                <w:sz w:val="20"/>
                <w:szCs w:val="20"/>
                <w:color w:val="auto"/>
              </w:rPr>
            </w:pPr>
            <w:r>
              <w:rPr>
                <w:rFonts w:ascii="Times New Roman" w:cs="Times New Roman" w:eastAsia="Times New Roman" w:hAnsi="Times New Roman"/>
                <w:sz w:val="13"/>
                <w:szCs w:val="13"/>
                <w:color w:val="0000EE"/>
              </w:rPr>
              <w:t>CERTAIN UNITED STATES FEDERAL INCOME TAX CONSIDERATIONS FOR NON-U.S. HOLDERS</w:t>
            </w:r>
          </w:p>
        </w:tc>
        <w:tc>
          <w:tcPr>
            <w:tcW w:w="1240" w:type="dxa"/>
            <w:vAlign w:val="bottom"/>
          </w:tcPr>
          <w:p>
            <w:pPr>
              <w:jc w:val="right"/>
              <w:spacing w:after="0" w:line="141" w:lineRule="exact"/>
              <w:rPr>
                <w:sz w:val="20"/>
                <w:szCs w:val="20"/>
                <w:color w:val="auto"/>
              </w:rPr>
            </w:pPr>
            <w:r>
              <w:rPr>
                <w:rFonts w:ascii="Times New Roman" w:cs="Times New Roman" w:eastAsia="Times New Roman" w:hAnsi="Times New Roman"/>
                <w:sz w:val="13"/>
                <w:szCs w:val="13"/>
                <w:color w:val="auto"/>
              </w:rPr>
              <w:t>28</w:t>
            </w:r>
          </w:p>
        </w:tc>
      </w:tr>
      <w:tr>
        <w:trPr>
          <w:trHeight w:val="141"/>
        </w:trPr>
        <w:tc>
          <w:tcPr>
            <w:tcW w:w="1080" w:type="dxa"/>
            <w:vAlign w:val="bottom"/>
            <w:tcBorders>
              <w:top w:val="single" w:sz="8" w:color="0000EE"/>
              <w:bottom w:val="single" w:sz="8" w:color="0000EE"/>
            </w:tcBorders>
            <w:gridSpan w:val="6"/>
          </w:tcPr>
          <w:p>
            <w:pPr>
              <w:spacing w:after="0" w:line="141" w:lineRule="exact"/>
              <w:rPr>
                <w:sz w:val="20"/>
                <w:szCs w:val="20"/>
                <w:color w:val="auto"/>
              </w:rPr>
            </w:pPr>
            <w:r>
              <w:rPr>
                <w:rFonts w:ascii="Times New Roman" w:cs="Times New Roman" w:eastAsia="Times New Roman" w:hAnsi="Times New Roman"/>
                <w:sz w:val="13"/>
                <w:szCs w:val="13"/>
                <w:color w:val="0000EE"/>
                <w:w w:val="99"/>
              </w:rPr>
              <w:t>LEGAL MATTERS</w:t>
            </w:r>
          </w:p>
        </w:tc>
        <w:tc>
          <w:tcPr>
            <w:tcW w:w="4740" w:type="dxa"/>
            <w:vAlign w:val="bottom"/>
            <w:tcBorders>
              <w:top w:val="single" w:sz="8" w:color="0000EE"/>
            </w:tcBorders>
            <w:gridSpan w:val="9"/>
          </w:tcPr>
          <w:p>
            <w:pPr>
              <w:spacing w:after="0"/>
              <w:rPr>
                <w:sz w:val="12"/>
                <w:szCs w:val="12"/>
                <w:color w:val="auto"/>
              </w:rPr>
            </w:pPr>
          </w:p>
        </w:tc>
        <w:tc>
          <w:tcPr>
            <w:tcW w:w="1120" w:type="dxa"/>
            <w:vAlign w:val="bottom"/>
          </w:tcPr>
          <w:p>
            <w:pPr>
              <w:spacing w:after="0"/>
              <w:rPr>
                <w:sz w:val="12"/>
                <w:szCs w:val="12"/>
                <w:color w:val="auto"/>
              </w:rPr>
            </w:pPr>
          </w:p>
        </w:tc>
        <w:tc>
          <w:tcPr>
            <w:tcW w:w="1240" w:type="dxa"/>
            <w:vAlign w:val="bottom"/>
          </w:tcPr>
          <w:p>
            <w:pPr>
              <w:jc w:val="right"/>
              <w:spacing w:after="0" w:line="141" w:lineRule="exact"/>
              <w:rPr>
                <w:sz w:val="20"/>
                <w:szCs w:val="20"/>
                <w:color w:val="auto"/>
              </w:rPr>
            </w:pPr>
            <w:r>
              <w:rPr>
                <w:rFonts w:ascii="Times New Roman" w:cs="Times New Roman" w:eastAsia="Times New Roman" w:hAnsi="Times New Roman"/>
                <w:sz w:val="13"/>
                <w:szCs w:val="13"/>
                <w:color w:val="auto"/>
              </w:rPr>
              <w:t>33</w:t>
            </w:r>
          </w:p>
        </w:tc>
      </w:tr>
      <w:tr>
        <w:trPr>
          <w:trHeight w:val="141"/>
        </w:trPr>
        <w:tc>
          <w:tcPr>
            <w:tcW w:w="6940" w:type="dxa"/>
            <w:vAlign w:val="bottom"/>
            <w:gridSpan w:val="16"/>
          </w:tcPr>
          <w:p>
            <w:pPr>
              <w:spacing w:after="0" w:line="141" w:lineRule="exact"/>
              <w:rPr>
                <w:sz w:val="20"/>
                <w:szCs w:val="20"/>
                <w:color w:val="auto"/>
              </w:rPr>
            </w:pPr>
            <w:r>
              <w:rPr>
                <w:rFonts w:ascii="Times New Roman" w:cs="Times New Roman" w:eastAsia="Times New Roman" w:hAnsi="Times New Roman"/>
                <w:sz w:val="13"/>
                <w:szCs w:val="13"/>
                <w:color w:val="0000EE"/>
              </w:rPr>
              <w:t>EXPERTS</w:t>
            </w:r>
          </w:p>
        </w:tc>
        <w:tc>
          <w:tcPr>
            <w:tcW w:w="1240" w:type="dxa"/>
            <w:vAlign w:val="bottom"/>
          </w:tcPr>
          <w:p>
            <w:pPr>
              <w:jc w:val="right"/>
              <w:spacing w:after="0" w:line="141" w:lineRule="exact"/>
              <w:rPr>
                <w:sz w:val="20"/>
                <w:szCs w:val="20"/>
                <w:color w:val="auto"/>
              </w:rPr>
            </w:pPr>
            <w:r>
              <w:rPr>
                <w:rFonts w:ascii="Times New Roman" w:cs="Times New Roman" w:eastAsia="Times New Roman" w:hAnsi="Times New Roman"/>
                <w:sz w:val="13"/>
                <w:szCs w:val="13"/>
                <w:color w:val="auto"/>
              </w:rPr>
              <w:t>33</w:t>
            </w:r>
          </w:p>
        </w:tc>
      </w:tr>
      <w:tr>
        <w:trPr>
          <w:trHeight w:val="20"/>
        </w:trPr>
        <w:tc>
          <w:tcPr>
            <w:tcW w:w="560" w:type="dxa"/>
            <w:vAlign w:val="bottom"/>
            <w:shd w:val="clear" w:color="auto" w:fill="0000EE"/>
          </w:tcPr>
          <w:p>
            <w:pPr>
              <w:spacing w:after="0" w:line="20" w:lineRule="exact"/>
              <w:rPr>
                <w:sz w:val="1"/>
                <w:szCs w:val="1"/>
                <w:color w:val="auto"/>
              </w:rPr>
            </w:pPr>
          </w:p>
        </w:tc>
        <w:tc>
          <w:tcPr>
            <w:tcW w:w="2720" w:type="dxa"/>
            <w:vAlign w:val="bottom"/>
            <w:gridSpan w:val="11"/>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80" w:type="dxa"/>
            <w:vAlign w:val="bottom"/>
            <w:gridSpan w:val="3"/>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41"/>
        </w:trPr>
        <w:tc>
          <w:tcPr>
            <w:tcW w:w="6940" w:type="dxa"/>
            <w:vAlign w:val="bottom"/>
            <w:gridSpan w:val="16"/>
          </w:tcPr>
          <w:p>
            <w:pPr>
              <w:spacing w:after="0" w:line="141" w:lineRule="exact"/>
              <w:rPr>
                <w:sz w:val="20"/>
                <w:szCs w:val="20"/>
                <w:color w:val="auto"/>
              </w:rPr>
            </w:pPr>
            <w:r>
              <w:rPr>
                <w:rFonts w:ascii="Times New Roman" w:cs="Times New Roman" w:eastAsia="Times New Roman" w:hAnsi="Times New Roman"/>
                <w:sz w:val="13"/>
                <w:szCs w:val="13"/>
                <w:color w:val="0000EE"/>
              </w:rPr>
              <w:t>WHERE YOU CAN FIND ADDITIONAL INFORMATION</w:t>
            </w:r>
          </w:p>
        </w:tc>
        <w:tc>
          <w:tcPr>
            <w:tcW w:w="1240" w:type="dxa"/>
            <w:vAlign w:val="bottom"/>
          </w:tcPr>
          <w:p>
            <w:pPr>
              <w:jc w:val="right"/>
              <w:spacing w:after="0" w:line="141" w:lineRule="exact"/>
              <w:rPr>
                <w:sz w:val="20"/>
                <w:szCs w:val="20"/>
                <w:color w:val="auto"/>
              </w:rPr>
            </w:pPr>
            <w:r>
              <w:rPr>
                <w:rFonts w:ascii="Times New Roman" w:cs="Times New Roman" w:eastAsia="Times New Roman" w:hAnsi="Times New Roman"/>
                <w:sz w:val="13"/>
                <w:szCs w:val="13"/>
                <w:color w:val="auto"/>
              </w:rPr>
              <w:t>34</w:t>
            </w:r>
          </w:p>
        </w:tc>
      </w:tr>
      <w:tr>
        <w:trPr>
          <w:trHeight w:val="20"/>
        </w:trPr>
        <w:tc>
          <w:tcPr>
            <w:tcW w:w="3280" w:type="dxa"/>
            <w:vAlign w:val="bottom"/>
            <w:gridSpan w:val="12"/>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80" w:type="dxa"/>
            <w:vAlign w:val="bottom"/>
            <w:gridSpan w:val="3"/>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41"/>
        </w:trPr>
        <w:tc>
          <w:tcPr>
            <w:tcW w:w="3860" w:type="dxa"/>
            <w:vAlign w:val="bottom"/>
            <w:tcBorders>
              <w:bottom w:val="single" w:sz="8" w:color="0000EE"/>
            </w:tcBorders>
            <w:gridSpan w:val="13"/>
          </w:tcPr>
          <w:p>
            <w:pPr>
              <w:spacing w:after="0" w:line="141" w:lineRule="exact"/>
              <w:rPr>
                <w:sz w:val="20"/>
                <w:szCs w:val="20"/>
                <w:color w:val="auto"/>
              </w:rPr>
            </w:pPr>
            <w:r>
              <w:rPr>
                <w:rFonts w:ascii="Times New Roman" w:cs="Times New Roman" w:eastAsia="Times New Roman" w:hAnsi="Times New Roman"/>
                <w:sz w:val="13"/>
                <w:szCs w:val="13"/>
                <w:color w:val="0000EE"/>
              </w:rPr>
              <w:t>INCORPORATION OF CERTAIN INFORMATION BY REFERENCE</w:t>
            </w:r>
          </w:p>
        </w:tc>
        <w:tc>
          <w:tcPr>
            <w:tcW w:w="3080" w:type="dxa"/>
            <w:vAlign w:val="bottom"/>
            <w:gridSpan w:val="3"/>
          </w:tcPr>
          <w:p>
            <w:pPr>
              <w:spacing w:after="0"/>
              <w:rPr>
                <w:sz w:val="12"/>
                <w:szCs w:val="12"/>
                <w:color w:val="auto"/>
              </w:rPr>
            </w:pPr>
          </w:p>
        </w:tc>
        <w:tc>
          <w:tcPr>
            <w:tcW w:w="1240" w:type="dxa"/>
            <w:vAlign w:val="bottom"/>
          </w:tcPr>
          <w:p>
            <w:pPr>
              <w:jc w:val="right"/>
              <w:spacing w:after="0" w:line="141" w:lineRule="exact"/>
              <w:rPr>
                <w:sz w:val="20"/>
                <w:szCs w:val="20"/>
                <w:color w:val="auto"/>
              </w:rPr>
            </w:pPr>
            <w:r>
              <w:rPr>
                <w:rFonts w:ascii="Times New Roman" w:cs="Times New Roman" w:eastAsia="Times New Roman" w:hAnsi="Times New Roman"/>
                <w:sz w:val="13"/>
                <w:szCs w:val="13"/>
                <w:color w:val="auto"/>
              </w:rPr>
              <w:t>35</w:t>
            </w:r>
          </w:p>
        </w:tc>
      </w:tr>
    </w:tbl>
    <w:p>
      <w:pPr>
        <w:spacing w:after="0" w:line="11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i</w:t>
      </w:r>
    </w:p>
    <w:p>
      <w:pPr>
        <w:sectPr>
          <w:pgSz w:w="11900" w:h="16838" w:orient="portrait"/>
          <w:cols w:equalWidth="0" w:num="1">
            <w:col w:w="10159"/>
          </w:cols>
          <w:pgMar w:left="300" w:top="375" w:right="1440"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7">
                      <a:extLst>
                        <a:ext uri="{28A0092B-C50C-407E-A947-70E740481C1C}"/>
                      </a:extLst>
                    </a:blip>
                    <a:srcRect/>
                    <a:stretch>
                      <a:fillRect/>
                    </a:stretch>
                  </pic:blipFill>
                  <pic:spPr bwMode="auto">
                    <a:xfrm>
                      <a:off x="0" y="0"/>
                      <a:ext cx="7205345" cy="31750"/>
                    </a:xfrm>
                    <a:prstGeom prst="rect">
                      <a:avLst/>
                    </a:prstGeom>
                    <a:noFill/>
                  </pic:spPr>
                </pic:pic>
              </a:graphicData>
            </a:graphic>
          </wp:anchor>
        </w:drawing>
        <w:t>Table of Contents</w:t>
      </w:r>
    </w:p>
    <w:p>
      <w:pPr>
        <w:spacing w:after="0" w:line="24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ABOUT THIS PROSPECTUS</w:t>
      </w:r>
    </w:p>
    <w:p>
      <w:pPr>
        <w:spacing w:after="0" w:line="177" w:lineRule="exact"/>
        <w:rPr>
          <w:sz w:val="20"/>
          <w:szCs w:val="20"/>
          <w:color w:val="auto"/>
        </w:rPr>
      </w:pPr>
    </w:p>
    <w:p>
      <w:pPr>
        <w:ind w:left="1540" w:right="459" w:firstLine="329"/>
        <w:spacing w:after="0" w:line="266" w:lineRule="auto"/>
        <w:rPr>
          <w:sz w:val="20"/>
          <w:szCs w:val="20"/>
          <w:color w:val="auto"/>
        </w:rPr>
      </w:pPr>
      <w:r>
        <w:rPr>
          <w:rFonts w:ascii="Times New Roman" w:cs="Times New Roman" w:eastAsia="Times New Roman" w:hAnsi="Times New Roman"/>
          <w:sz w:val="13"/>
          <w:szCs w:val="13"/>
          <w:color w:val="auto"/>
        </w:rPr>
        <w:t>This prospectus is part of a registration statement on Form S-3 that the Company filed with the Securities and Exchange Commission (the “SEC”) utilizing a “shelf” registration process. This prospectus relates to the offering of shares of Class A Common Stock issuable upon the exercise of the outstanding Warrants. Before exercising any Warrants for shares of Class A Common Stock covered by this prospectus, it is important for you to read and consider all information contained in this prospectus, including the documents incorporated by reference herein. You should also read and consider the information in the documents to which the Company has referred you in the sections entitled “Where You Can Find Additional Information” and “Incorporation of Certain Information by Reference” in this prospectus.</w:t>
      </w:r>
    </w:p>
    <w:p>
      <w:pPr>
        <w:spacing w:after="0" w:line="135" w:lineRule="exact"/>
        <w:rPr>
          <w:sz w:val="20"/>
          <w:szCs w:val="20"/>
          <w:color w:val="auto"/>
        </w:rPr>
      </w:pPr>
    </w:p>
    <w:p>
      <w:pPr>
        <w:ind w:left="1540" w:right="499" w:firstLine="329"/>
        <w:spacing w:after="0" w:line="265" w:lineRule="auto"/>
        <w:rPr>
          <w:sz w:val="20"/>
          <w:szCs w:val="20"/>
          <w:color w:val="auto"/>
        </w:rPr>
      </w:pPr>
      <w:r>
        <w:rPr>
          <w:rFonts w:ascii="Times New Roman" w:cs="Times New Roman" w:eastAsia="Times New Roman" w:hAnsi="Times New Roman"/>
          <w:sz w:val="13"/>
          <w:szCs w:val="13"/>
          <w:color w:val="auto"/>
        </w:rPr>
        <w:t>The information contained in this prospectus or incorporated by reference herein is accurate only as of the respective dates thereof, regardless of the time of delivery of this prospectus or of any issuance of Class A Common Stock hereunder. The Company’s business, financial condition, results of operations and prospects may have changed since those dates. To the extent there is a conflict between the information contained in this prospectus, on the one hand, and the information contained in any document incorporated by reference into this prospectus that was filed with the SEC before the date of this prospectus, on the other hand, you should rely on the information in this prospectus. If any statement in one of these documents is inconsistent with a statement in another document having a later date — for example, a document incorporated by reference into this prospectus — the statement in the document having the later date modifies or supersedes the earlier statement.</w:t>
      </w:r>
    </w:p>
    <w:p>
      <w:pPr>
        <w:spacing w:after="0" w:line="135" w:lineRule="exact"/>
        <w:rPr>
          <w:sz w:val="20"/>
          <w:szCs w:val="20"/>
          <w:color w:val="auto"/>
        </w:rPr>
      </w:pPr>
    </w:p>
    <w:p>
      <w:pPr>
        <w:ind w:left="1540" w:right="659" w:firstLine="329"/>
        <w:spacing w:after="0" w:line="268" w:lineRule="auto"/>
        <w:rPr>
          <w:sz w:val="20"/>
          <w:szCs w:val="20"/>
          <w:color w:val="auto"/>
        </w:rPr>
      </w:pPr>
      <w:r>
        <w:rPr>
          <w:rFonts w:ascii="Times New Roman" w:cs="Times New Roman" w:eastAsia="Times New Roman" w:hAnsi="Times New Roman"/>
          <w:sz w:val="13"/>
          <w:szCs w:val="13"/>
          <w:color w:val="auto"/>
        </w:rPr>
        <w:t>The representations, warranties and covenants made by the Company in any agreement that is filed as an exhibit to any document that is incorporated by reference herein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the Company’s affairs.</w:t>
      </w:r>
    </w:p>
    <w:p>
      <w:pPr>
        <w:spacing w:after="0" w:line="133" w:lineRule="exact"/>
        <w:rPr>
          <w:sz w:val="20"/>
          <w:szCs w:val="20"/>
          <w:color w:val="auto"/>
        </w:rPr>
      </w:pPr>
    </w:p>
    <w:p>
      <w:pPr>
        <w:ind w:left="1540" w:right="459" w:firstLine="329"/>
        <w:spacing w:after="0" w:line="278" w:lineRule="auto"/>
        <w:rPr>
          <w:sz w:val="20"/>
          <w:szCs w:val="20"/>
          <w:color w:val="auto"/>
        </w:rPr>
      </w:pPr>
      <w:r>
        <w:rPr>
          <w:rFonts w:ascii="Times New Roman" w:cs="Times New Roman" w:eastAsia="Times New Roman" w:hAnsi="Times New Roman"/>
          <w:sz w:val="13"/>
          <w:szCs w:val="13"/>
          <w:color w:val="auto"/>
        </w:rPr>
        <w:t>The Company has not authorized anyone to provide any information or to make any representations other than those contained or incorporated by reference in this prospectus or any free writing prospectus the Company has prepared. The Company takes no responsibility for, and can provide no assurance as to the reliability of, any other information that others may give you.</w:t>
      </w:r>
    </w:p>
    <w:p>
      <w:pPr>
        <w:spacing w:after="0" w:line="125" w:lineRule="exact"/>
        <w:rPr>
          <w:sz w:val="20"/>
          <w:szCs w:val="20"/>
          <w:color w:val="auto"/>
        </w:rPr>
      </w:pPr>
    </w:p>
    <w:p>
      <w:pPr>
        <w:ind w:left="1540" w:right="499" w:firstLine="329"/>
        <w:spacing w:after="0" w:line="266" w:lineRule="auto"/>
        <w:rPr>
          <w:sz w:val="20"/>
          <w:szCs w:val="20"/>
          <w:color w:val="auto"/>
        </w:rPr>
      </w:pPr>
      <w:r>
        <w:rPr>
          <w:rFonts w:ascii="Times New Roman" w:cs="Times New Roman" w:eastAsia="Times New Roman" w:hAnsi="Times New Roman"/>
          <w:sz w:val="13"/>
          <w:szCs w:val="13"/>
          <w:color w:val="auto"/>
        </w:rPr>
        <w:t>This prospectus is an offer to sell only Class A Common Stock upon exercise of outstanding Warrants and only under circumstances and in jurisdictions where it is lawful to do so. The distribution of this prospectus and the offering of the shares of Class A Common Stock offered by this prospectus in certain jurisdictions may be restricted by law. Persons outside the United States who come into possession of this prospectus must inform themselves about, and observe any restrictions relating to, the offering of the shares of Class A Common Stock and the distribution of this prospectus outside the United States. This prospectus does not constitute, and may not be used in connection with, an offer to sell, or a solicitation of an offer to buy, any securities offered by this prospectus by any person in any jurisdiction in which it is unlawful for such person to make such an offer or solicitation.</w:t>
      </w:r>
    </w:p>
    <w:p>
      <w:pPr>
        <w:spacing w:after="0" w:line="245"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3"/>
          <w:szCs w:val="13"/>
          <w:color w:val="auto"/>
        </w:rPr>
        <w:t>ii</w:t>
      </w:r>
    </w:p>
    <w:p>
      <w:pPr>
        <w:sectPr>
          <w:pgSz w:w="11900" w:h="16838" w:orient="portrait"/>
          <w:cols w:equalWidth="0" w:num="1">
            <w:col w:w="10159"/>
          </w:cols>
          <w:pgMar w:left="300" w:top="375" w:right="1440"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8">
                      <a:extLst>
                        <a:ext uri="{28A0092B-C50C-407E-A947-70E740481C1C}"/>
                      </a:extLst>
                    </a:blip>
                    <a:srcRect/>
                    <a:stretch>
                      <a:fillRect/>
                    </a:stretch>
                  </pic:blipFill>
                  <pic:spPr bwMode="auto">
                    <a:xfrm>
                      <a:off x="0" y="0"/>
                      <a:ext cx="7205345" cy="3175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969645</wp:posOffset>
            </wp:positionH>
            <wp:positionV relativeFrom="paragraph">
              <wp:posOffset>161925</wp:posOffset>
            </wp:positionV>
            <wp:extent cx="5227955" cy="44792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9">
                      <a:extLst>
                        <a:ext uri="{28A0092B-C50C-407E-A947-70E740481C1C}"/>
                      </a:extLst>
                    </a:blip>
                    <a:srcRect/>
                    <a:stretch>
                      <a:fillRect/>
                    </a:stretch>
                  </pic:blipFill>
                  <pic:spPr bwMode="auto">
                    <a:xfrm>
                      <a:off x="0" y="0"/>
                      <a:ext cx="5227955" cy="4479290"/>
                    </a:xfrm>
                    <a:prstGeom prst="rect">
                      <a:avLst/>
                    </a:prstGeom>
                    <a:noFill/>
                  </pic:spPr>
                </pic:pic>
              </a:graphicData>
            </a:graphic>
          </wp:anchor>
        </w:drawing>
      </w:r>
    </w:p>
    <w:p>
      <w:pPr>
        <w:spacing w:after="0" w:line="355"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3"/>
          <w:szCs w:val="13"/>
          <w:b w:val="1"/>
          <w:bCs w:val="1"/>
          <w:color w:val="auto"/>
        </w:rPr>
        <w:t>SUMMARY</w:t>
      </w:r>
    </w:p>
    <w:p>
      <w:pPr>
        <w:spacing w:after="0" w:line="175" w:lineRule="exact"/>
        <w:rPr>
          <w:sz w:val="20"/>
          <w:szCs w:val="20"/>
          <w:color w:val="auto"/>
        </w:rPr>
      </w:pPr>
    </w:p>
    <w:p>
      <w:pPr>
        <w:ind w:left="1660" w:right="779" w:firstLine="318"/>
        <w:spacing w:after="0" w:line="267" w:lineRule="auto"/>
        <w:rPr>
          <w:sz w:val="20"/>
          <w:szCs w:val="20"/>
          <w:color w:val="auto"/>
        </w:rPr>
      </w:pPr>
      <w:r>
        <w:rPr>
          <w:rFonts w:ascii="Times New Roman" w:cs="Times New Roman" w:eastAsia="Times New Roman" w:hAnsi="Times New Roman"/>
          <w:sz w:val="13"/>
          <w:szCs w:val="13"/>
          <w:i w:val="1"/>
          <w:iCs w:val="1"/>
          <w:color w:val="auto"/>
        </w:rPr>
        <w:t>This summary highlights selected information contained elsewhere in this prospectus or incorporated by reference in this prospectus, and does not contain all of the information that you need to consider in making your investment decision. You should carefully read the entire prospectus, and any related free writing prospectus, including the risks of investing in Cibus’ securities discussed in the section titled “Risk Factors” contained in this prospectus and any related free writing prospectus, and under similar headings in the other documents that are incorporated by reference into this prospectus. You should also carefully read the information incorporated by reference into this prospectus, including Cibus’ financial statements, and the exhibits to the registration statement of which this prospectus is a part.</w:t>
      </w:r>
    </w:p>
    <w:p>
      <w:pPr>
        <w:spacing w:after="0" w:line="209"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3"/>
          <w:szCs w:val="13"/>
          <w:b w:val="1"/>
          <w:bCs w:val="1"/>
          <w:color w:val="auto"/>
        </w:rPr>
        <w:t>Company Overview</w:t>
      </w:r>
    </w:p>
    <w:p>
      <w:pPr>
        <w:spacing w:after="0" w:line="96" w:lineRule="exact"/>
        <w:rPr>
          <w:sz w:val="20"/>
          <w:szCs w:val="20"/>
          <w:color w:val="auto"/>
        </w:rPr>
      </w:pPr>
    </w:p>
    <w:p>
      <w:pPr>
        <w:ind w:left="1660" w:right="559" w:firstLine="318"/>
        <w:spacing w:after="0" w:line="245" w:lineRule="auto"/>
        <w:rPr>
          <w:sz w:val="20"/>
          <w:szCs w:val="20"/>
          <w:color w:val="auto"/>
        </w:rPr>
      </w:pPr>
      <w:r>
        <w:rPr>
          <w:rFonts w:ascii="Times New Roman" w:cs="Times New Roman" w:eastAsia="Times New Roman" w:hAnsi="Times New Roman"/>
          <w:sz w:val="13"/>
          <w:szCs w:val="13"/>
          <w:color w:val="auto"/>
        </w:rPr>
        <w:t>Cibus is a leading agricultural biotechnology company that primarily uses proprietary gene editing technologies to develop plant traits, which are specific genetic characteristics in the DNA of a plant’s seed. Plant traits, or characteristics, influence how a resulting plant functions and/or interacts with its environment. Cibus produces these edited plant traits by a unique process that is endeavoring to change the scale and speed of plant breeding for many major agricultural crops. Over the course of its history, the Company has developed a proprietary time bound and predictable gene editing platform referred to as the Rapid Trait Development System</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i w:val="1"/>
          <w:iCs w:val="1"/>
          <w:color w:val="auto"/>
        </w:rPr>
        <w:t>RTDS</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3"/>
          <w:szCs w:val="13"/>
          <w:color w:val="auto"/>
        </w:rPr>
        <w:t>”). This system allows the Company to edit gene targets that are the basis of novel traits that can be integrated into its customers’ best or elite seed genetics in as little as one year. Cibus’ primary trait business opportunities continue to broaden as key jurisdictions around the world more closely align gene editing regulatory policies with those already in place for conventional breeding.</w:t>
      </w:r>
    </w:p>
    <w:p>
      <w:pPr>
        <w:spacing w:after="0" w:line="148" w:lineRule="exact"/>
        <w:rPr>
          <w:sz w:val="20"/>
          <w:szCs w:val="20"/>
          <w:color w:val="auto"/>
        </w:rPr>
      </w:pPr>
    </w:p>
    <w:p>
      <w:pPr>
        <w:ind w:left="1660" w:right="639" w:firstLine="318"/>
        <w:spacing w:after="0" w:line="265" w:lineRule="auto"/>
        <w:rPr>
          <w:sz w:val="20"/>
          <w:szCs w:val="20"/>
          <w:color w:val="auto"/>
        </w:rPr>
      </w:pPr>
      <w:r>
        <w:rPr>
          <w:rFonts w:ascii="Times New Roman" w:cs="Times New Roman" w:eastAsia="Times New Roman" w:hAnsi="Times New Roman"/>
          <w:sz w:val="13"/>
          <w:szCs w:val="13"/>
          <w:color w:val="auto"/>
        </w:rPr>
        <w:t>In the near term, Cibus’ priority pipeline program centers on Rice herbicide tolerance (HT) traits. Alongside its Rice program, Cibus also continues to advance its sustainable ingredients program, including lauric oils and bio fragrance products, the development of which is currently partially partner-funded and/or supported by a consumer-packaged goods partner. Management estimates that Cibus’ bio-fragrance business has a peak annual revenue potential of approximately $20-40 million, within a global bio-fragrance industry that has the potential to grow to become an approximately $75 billion market by 2030. The Company retains the rights to the remainder of its productivity trait portfolio and will opportunistically pursue partner-funded projects in such traits until such time as the Company’s capital resources are sufficient to efficiently support a more robust development effort.</w:t>
      </w:r>
    </w:p>
    <w:p>
      <w:pPr>
        <w:spacing w:after="0" w:line="211"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3"/>
          <w:szCs w:val="13"/>
          <w:b w:val="1"/>
          <w:bCs w:val="1"/>
          <w:color w:val="auto"/>
        </w:rPr>
        <w:t>Corporate Structure</w:t>
      </w:r>
    </w:p>
    <w:p>
      <w:pPr>
        <w:spacing w:after="0" w:line="96" w:lineRule="exact"/>
        <w:rPr>
          <w:sz w:val="20"/>
          <w:szCs w:val="20"/>
          <w:color w:val="auto"/>
        </w:rPr>
      </w:pPr>
    </w:p>
    <w:p>
      <w:pPr>
        <w:ind w:left="1660" w:right="599" w:firstLine="318"/>
        <w:spacing w:after="0" w:line="271" w:lineRule="auto"/>
        <w:rPr>
          <w:sz w:val="20"/>
          <w:szCs w:val="20"/>
          <w:color w:val="auto"/>
        </w:rPr>
      </w:pPr>
      <w:r>
        <w:rPr>
          <w:rFonts w:ascii="Times New Roman" w:cs="Times New Roman" w:eastAsia="Times New Roman" w:hAnsi="Times New Roman"/>
          <w:sz w:val="13"/>
          <w:szCs w:val="13"/>
          <w:color w:val="auto"/>
        </w:rPr>
        <w:t>Cibus is a holding company with substantially all of its assets and operations conducted through Cibus Global, LLC (“Cibus Global”) and its subsidiaries. Cibus, Inc.’s sole material asset consists of its interest in Cibus Global. Cibus, Inc. is the sole managing member of Cibus Global and is responsible for all operational, management and administrative decisions relating to Cibus Global’s business and consolidates the financial results of Cibus Global and its subsidiaries.</w:t>
      </w:r>
    </w:p>
    <w:p>
      <w:pPr>
        <w:spacing w:after="0" w:line="208"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3"/>
          <w:szCs w:val="13"/>
          <w:b w:val="1"/>
          <w:bCs w:val="1"/>
          <w:color w:val="auto"/>
        </w:rPr>
        <w:t>Implications of Being a Smaller Reporting Company</w:t>
      </w:r>
    </w:p>
    <w:p>
      <w:pPr>
        <w:spacing w:after="0" w:line="96" w:lineRule="exact"/>
        <w:rPr>
          <w:sz w:val="20"/>
          <w:szCs w:val="20"/>
          <w:color w:val="auto"/>
        </w:rPr>
      </w:pPr>
    </w:p>
    <w:p>
      <w:pPr>
        <w:ind w:left="1660" w:right="619" w:firstLine="318"/>
        <w:spacing w:after="0" w:line="268" w:lineRule="auto"/>
        <w:rPr>
          <w:sz w:val="20"/>
          <w:szCs w:val="20"/>
          <w:color w:val="auto"/>
        </w:rPr>
      </w:pPr>
      <w:r>
        <w:rPr>
          <w:rFonts w:ascii="Times New Roman" w:cs="Times New Roman" w:eastAsia="Times New Roman" w:hAnsi="Times New Roman"/>
          <w:sz w:val="13"/>
          <w:szCs w:val="13"/>
          <w:color w:val="auto"/>
        </w:rPr>
        <w:t>Cibus, Inc. is a “smaller reporting company” as defined in the Securities Exchange Act of 1934 (the “Exchange Act”). The Company may continue to be a smaller reporting company even though the Company no longer qualifies as an “emerging growth company.” As a smaller reporting company, the Company is exempt from the auditor attestation requirements of the Sarbanes-Oxley Act of 2002 and may also take advantage of certain scaled disclosure accommodations. The Company may remain a smaller reporting company until the fiscal year following the determination that its common stock held by non-affiliates is $250 million or more</w:t>
      </w:r>
    </w:p>
    <w:p>
      <w:pPr>
        <w:spacing w:after="0" w:line="2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1</w:t>
      </w:r>
    </w:p>
    <w:p>
      <w:pPr>
        <w:sectPr>
          <w:pgSz w:w="11900" w:h="16838" w:orient="portrait"/>
          <w:cols w:equalWidth="0" w:num="1">
            <w:col w:w="10159"/>
          </w:cols>
          <w:pgMar w:left="300" w:top="375" w:right="1440"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0">
                      <a:extLst>
                        <a:ext uri="{28A0092B-C50C-407E-A947-70E740481C1C}"/>
                      </a:extLst>
                    </a:blip>
                    <a:srcRect/>
                    <a:stretch>
                      <a:fillRect/>
                    </a:stretch>
                  </pic:blipFill>
                  <pic:spPr bwMode="auto">
                    <a:xfrm>
                      <a:off x="0" y="0"/>
                      <a:ext cx="7205345" cy="3175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969645</wp:posOffset>
            </wp:positionH>
            <wp:positionV relativeFrom="paragraph">
              <wp:posOffset>161925</wp:posOffset>
            </wp:positionV>
            <wp:extent cx="5227955" cy="11004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1">
                      <a:extLst>
                        <a:ext uri="{28A0092B-C50C-407E-A947-70E740481C1C}"/>
                      </a:extLst>
                    </a:blip>
                    <a:srcRect/>
                    <a:stretch>
                      <a:fillRect/>
                    </a:stretch>
                  </pic:blipFill>
                  <pic:spPr bwMode="auto">
                    <a:xfrm>
                      <a:off x="0" y="0"/>
                      <a:ext cx="5227955" cy="1100455"/>
                    </a:xfrm>
                    <a:prstGeom prst="rect">
                      <a:avLst/>
                    </a:prstGeom>
                    <a:noFill/>
                  </pic:spPr>
                </pic:pic>
              </a:graphicData>
            </a:graphic>
          </wp:anchor>
        </w:drawing>
      </w:r>
    </w:p>
    <w:p>
      <w:pPr>
        <w:spacing w:after="0" w:line="359" w:lineRule="exact"/>
        <w:rPr>
          <w:sz w:val="20"/>
          <w:szCs w:val="20"/>
          <w:color w:val="auto"/>
        </w:rPr>
      </w:pPr>
    </w:p>
    <w:p>
      <w:pPr>
        <w:ind w:left="1660" w:right="599"/>
        <w:spacing w:after="0" w:line="278" w:lineRule="auto"/>
        <w:rPr>
          <w:sz w:val="20"/>
          <w:szCs w:val="20"/>
          <w:color w:val="auto"/>
        </w:rPr>
      </w:pPr>
      <w:r>
        <w:rPr>
          <w:rFonts w:ascii="Times New Roman" w:cs="Times New Roman" w:eastAsia="Times New Roman" w:hAnsi="Times New Roman"/>
          <w:sz w:val="13"/>
          <w:szCs w:val="13"/>
          <w:color w:val="auto"/>
        </w:rPr>
        <w:t>(measured on the last business day of the Company’s second fiscal quarter) or its annual revenues are $100 million or more during the most recently completed fiscal year and the Company’s common stock held by non-affiliates is $700 million or more (measured on the last business day of the Company’s second fiscal quarter).</w:t>
      </w:r>
    </w:p>
    <w:p>
      <w:pPr>
        <w:spacing w:after="0" w:line="202"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3"/>
          <w:szCs w:val="13"/>
          <w:b w:val="1"/>
          <w:bCs w:val="1"/>
          <w:color w:val="auto"/>
        </w:rPr>
        <w:t>Company Information</w:t>
      </w:r>
    </w:p>
    <w:p>
      <w:pPr>
        <w:spacing w:after="0" w:line="96" w:lineRule="exact"/>
        <w:rPr>
          <w:sz w:val="20"/>
          <w:szCs w:val="20"/>
          <w:color w:val="auto"/>
        </w:rPr>
      </w:pPr>
    </w:p>
    <w:p>
      <w:pPr>
        <w:ind w:left="1660" w:right="579" w:firstLine="318"/>
        <w:spacing w:after="0" w:line="278" w:lineRule="auto"/>
        <w:rPr>
          <w:sz w:val="20"/>
          <w:szCs w:val="20"/>
          <w:color w:val="auto"/>
        </w:rPr>
      </w:pPr>
      <w:r>
        <w:rPr>
          <w:rFonts w:ascii="Times New Roman" w:cs="Times New Roman" w:eastAsia="Times New Roman" w:hAnsi="Times New Roman"/>
          <w:sz w:val="13"/>
          <w:szCs w:val="13"/>
          <w:color w:val="auto"/>
        </w:rPr>
        <w:t>The Company’s Class A Common Stock trades on Nasdaq under the symbol “CBUS.” The Company’s principal executive offices are located at 6455 Nancy Ridge Drive, San Diego, CA 92121 and its telephone number is (858) 450-0008. Cibus’ filings with the SEC are posted on its corporate website at www.cibus.com. The information found on the Company’s website is not part of this prospectus.</w:t>
      </w:r>
    </w:p>
    <w:p>
      <w:pPr>
        <w:spacing w:after="0" w:line="2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2</w:t>
      </w:r>
    </w:p>
    <w:p>
      <w:pPr>
        <w:sectPr>
          <w:pgSz w:w="11900" w:h="16838" w:orient="portrait"/>
          <w:cols w:equalWidth="0" w:num="1">
            <w:col w:w="10159"/>
          </w:cols>
          <w:pgMar w:left="300" w:top="375" w:right="1440"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2">
                      <a:extLst>
                        <a:ext uri="{28A0092B-C50C-407E-A947-70E740481C1C}"/>
                      </a:extLst>
                    </a:blip>
                    <a:srcRect/>
                    <a:stretch>
                      <a:fillRect/>
                    </a:stretch>
                  </pic:blipFill>
                  <pic:spPr bwMode="auto">
                    <a:xfrm>
                      <a:off x="0" y="0"/>
                      <a:ext cx="7205345" cy="3175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969645</wp:posOffset>
            </wp:positionH>
            <wp:positionV relativeFrom="paragraph">
              <wp:posOffset>161925</wp:posOffset>
            </wp:positionV>
            <wp:extent cx="5227955" cy="41916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3">
                      <a:extLst>
                        <a:ext uri="{28A0092B-C50C-407E-A947-70E740481C1C}"/>
                      </a:extLst>
                    </a:blip>
                    <a:srcRect/>
                    <a:stretch>
                      <a:fillRect/>
                    </a:stretch>
                  </pic:blipFill>
                  <pic:spPr bwMode="auto">
                    <a:xfrm>
                      <a:off x="0" y="0"/>
                      <a:ext cx="5227955" cy="4191635"/>
                    </a:xfrm>
                    <a:prstGeom prst="rect">
                      <a:avLst/>
                    </a:prstGeom>
                    <a:noFill/>
                  </pic:spPr>
                </pic:pic>
              </a:graphicData>
            </a:graphic>
          </wp:anchor>
        </w:drawing>
      </w:r>
    </w:p>
    <w:p>
      <w:pPr>
        <w:spacing w:after="0" w:line="355"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3"/>
          <w:szCs w:val="13"/>
          <w:b w:val="1"/>
          <w:bCs w:val="1"/>
          <w:color w:val="auto"/>
        </w:rPr>
        <w:t>THE OFFERING</w:t>
      </w:r>
    </w:p>
    <w:p>
      <w:pPr>
        <w:sectPr>
          <w:pgSz w:w="11900" w:h="16838" w:orient="portrait"/>
          <w:cols w:equalWidth="0" w:num="1">
            <w:col w:w="10159"/>
          </w:cols>
          <w:pgMar w:left="300" w:top="375" w:right="1440" w:bottom="1440" w:gutter="0" w:footer="0" w:header="0"/>
        </w:sectPr>
      </w:pPr>
    </w:p>
    <w:p>
      <w:pPr>
        <w:spacing w:after="0" w:line="197"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3"/>
          <w:szCs w:val="13"/>
          <w:color w:val="auto"/>
        </w:rPr>
        <w:t>Class A Common Stock Offered by Cibus in this</w:t>
      </w:r>
    </w:p>
    <w:p>
      <w:pPr>
        <w:spacing w:after="0" w:line="24"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3"/>
          <w:szCs w:val="13"/>
          <w:color w:val="auto"/>
        </w:rPr>
        <w:t>Offering</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ind w:right="999"/>
        <w:spacing w:after="0" w:line="297" w:lineRule="auto"/>
        <w:rPr>
          <w:sz w:val="20"/>
          <w:szCs w:val="20"/>
          <w:color w:val="auto"/>
        </w:rPr>
      </w:pPr>
      <w:r>
        <w:rPr>
          <w:rFonts w:ascii="Times New Roman" w:cs="Times New Roman" w:eastAsia="Times New Roman" w:hAnsi="Times New Roman"/>
          <w:sz w:val="13"/>
          <w:szCs w:val="13"/>
          <w:color w:val="auto"/>
        </w:rPr>
        <w:t>10,738,040 shares of Class A Common Stock issuable upon exercise of outstanding Warrants.</w:t>
      </w:r>
    </w:p>
    <w:p>
      <w:pPr>
        <w:spacing w:after="0" w:line="144" w:lineRule="exact"/>
        <w:rPr>
          <w:sz w:val="20"/>
          <w:szCs w:val="20"/>
          <w:color w:val="auto"/>
        </w:rPr>
      </w:pPr>
    </w:p>
    <w:p>
      <w:pPr>
        <w:sectPr>
          <w:pgSz w:w="11900" w:h="16838" w:orient="portrait"/>
          <w:cols w:equalWidth="0" w:num="2">
            <w:col w:w="4280" w:space="400"/>
            <w:col w:w="5479"/>
          </w:cols>
          <w:pgMar w:left="300" w:top="375" w:right="1440" w:bottom="1440" w:gutter="0" w:footer="0" w:header="0"/>
          <w:type w:val="continuous"/>
        </w:sectPr>
      </w:pPr>
    </w:p>
    <w:p>
      <w:pPr>
        <w:ind w:left="1660"/>
        <w:spacing w:after="0"/>
        <w:rPr>
          <w:sz w:val="20"/>
          <w:szCs w:val="20"/>
          <w:color w:val="auto"/>
        </w:rPr>
      </w:pPr>
      <w:r>
        <w:rPr>
          <w:rFonts w:ascii="Times New Roman" w:cs="Times New Roman" w:eastAsia="Times New Roman" w:hAnsi="Times New Roman"/>
          <w:sz w:val="13"/>
          <w:szCs w:val="13"/>
          <w:color w:val="auto"/>
        </w:rPr>
        <w:t>Shares to be Outstanding After This Offering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3"/>
          <w:szCs w:val="13"/>
          <w:color w:val="auto"/>
        </w:rPr>
        <w:t>65,149,077 shares of Class A Common Stock (assuming exercise of the Warrants in full).</w:t>
      </w:r>
    </w:p>
    <w:p>
      <w:pPr>
        <w:spacing w:after="0" w:line="200" w:lineRule="exact"/>
        <w:rPr>
          <w:sz w:val="20"/>
          <w:szCs w:val="20"/>
          <w:color w:val="auto"/>
        </w:rPr>
      </w:pPr>
    </w:p>
    <w:p>
      <w:pPr>
        <w:sectPr>
          <w:pgSz w:w="11900" w:h="16838" w:orient="portrait"/>
          <w:cols w:equalWidth="0" w:num="2">
            <w:col w:w="4100" w:space="580"/>
            <w:col w:w="5479"/>
          </w:cols>
          <w:pgMar w:left="300" w:top="375" w:right="1440" w:bottom="1440" w:gutter="0" w:footer="0" w:header="0"/>
          <w:type w:val="continuous"/>
        </w:sectPr>
      </w:pPr>
    </w:p>
    <w:p>
      <w:pPr>
        <w:spacing w:after="0" w:line="3"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3"/>
          <w:szCs w:val="13"/>
          <w:color w:val="auto"/>
        </w:rPr>
        <w:t>Use of Proceeds</w:t>
      </w:r>
    </w:p>
    <w:p>
      <w:pPr>
        <w:spacing w:after="0" w:line="20" w:lineRule="exact"/>
        <w:rPr>
          <w:sz w:val="20"/>
          <w:szCs w:val="20"/>
          <w:color w:val="auto"/>
        </w:rPr>
      </w:pPr>
      <w:r>
        <w:rPr>
          <w:sz w:val="20"/>
          <w:szCs w:val="20"/>
          <w:color w:val="auto"/>
        </w:rPr>
        <w:br w:type="column"/>
      </w:r>
    </w:p>
    <w:p>
      <w:pPr>
        <w:ind w:right="719"/>
        <w:spacing w:after="0" w:line="297" w:lineRule="auto"/>
        <w:rPr>
          <w:sz w:val="20"/>
          <w:szCs w:val="20"/>
          <w:color w:val="auto"/>
        </w:rPr>
      </w:pPr>
      <w:r>
        <w:rPr>
          <w:rFonts w:ascii="Times New Roman" w:cs="Times New Roman" w:eastAsia="Times New Roman" w:hAnsi="Times New Roman"/>
          <w:sz w:val="13"/>
          <w:szCs w:val="13"/>
          <w:color w:val="auto"/>
        </w:rPr>
        <w:t>Assuming the full exercise for cash of all of the outstanding Warrants, the Company will receive proceeds of $26,595,140.</w:t>
      </w:r>
    </w:p>
    <w:p>
      <w:pPr>
        <w:spacing w:after="0" w:line="134" w:lineRule="exact"/>
        <w:rPr>
          <w:sz w:val="20"/>
          <w:szCs w:val="20"/>
          <w:color w:val="auto"/>
        </w:rPr>
      </w:pPr>
    </w:p>
    <w:p>
      <w:pPr>
        <w:sectPr>
          <w:pgSz w:w="11900" w:h="16838" w:orient="portrait"/>
          <w:cols w:equalWidth="0" w:num="2">
            <w:col w:w="3960" w:space="720"/>
            <w:col w:w="5479"/>
          </w:cols>
          <w:pgMar w:left="300" w:top="375" w:right="1440" w:bottom="1440" w:gutter="0" w:footer="0" w:header="0"/>
          <w:type w:val="continuous"/>
        </w:sectPr>
      </w:pPr>
    </w:p>
    <w:p>
      <w:pPr>
        <w:ind w:left="4680"/>
        <w:spacing w:after="0"/>
        <w:rPr>
          <w:sz w:val="20"/>
          <w:szCs w:val="20"/>
          <w:color w:val="auto"/>
        </w:rPr>
      </w:pPr>
      <w:r>
        <w:rPr>
          <w:rFonts w:ascii="Times New Roman" w:cs="Times New Roman" w:eastAsia="Times New Roman" w:hAnsi="Times New Roman"/>
          <w:sz w:val="13"/>
          <w:szCs w:val="13"/>
          <w:color w:val="auto"/>
        </w:rPr>
        <w:t>Cibus’ management will retain broad discretion regarding the allocation and use of the net</w:t>
      </w:r>
    </w:p>
    <w:p>
      <w:pPr>
        <w:spacing w:after="0" w:line="24"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3"/>
          <w:szCs w:val="13"/>
          <w:color w:val="auto"/>
        </w:rPr>
        <w:t>proceeds. Cibus currently intends to use the net proceeds from this offering for working</w:t>
      </w:r>
    </w:p>
    <w:p>
      <w:pPr>
        <w:spacing w:after="0" w:line="12"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3"/>
          <w:szCs w:val="13"/>
          <w:color w:val="auto"/>
        </w:rPr>
        <w:t>capital and general corporate purposes, including to fund further development of its weed</w:t>
      </w:r>
    </w:p>
    <w:p>
      <w:pPr>
        <w:spacing w:after="0" w:line="12"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3"/>
          <w:szCs w:val="13"/>
          <w:color w:val="auto"/>
        </w:rPr>
        <w:t>management traits in Rice and facilities-related costs and expenses. See the section titled</w:t>
      </w:r>
    </w:p>
    <w:p>
      <w:pPr>
        <w:spacing w:after="0" w:line="12"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3"/>
          <w:szCs w:val="13"/>
          <w:color w:val="auto"/>
        </w:rPr>
        <w:t>“Use of Proceeds.”</w:t>
      </w:r>
    </w:p>
    <w:p>
      <w:pPr>
        <w:sectPr>
          <w:pgSz w:w="11900" w:h="16838" w:orient="portrait"/>
          <w:cols w:equalWidth="0" w:num="1">
            <w:col w:w="10159"/>
          </w:cols>
          <w:pgMar w:left="300" w:top="375" w:right="1440" w:bottom="1440" w:gutter="0" w:footer="0" w:header="0"/>
          <w:type w:val="continuous"/>
        </w:sectPr>
      </w:pPr>
    </w:p>
    <w:p>
      <w:pPr>
        <w:spacing w:after="0" w:line="181"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3"/>
          <w:szCs w:val="13"/>
          <w:color w:val="auto"/>
        </w:rPr>
        <w:t>Risk Factors</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ind w:right="599"/>
        <w:spacing w:after="0" w:line="271" w:lineRule="auto"/>
        <w:rPr>
          <w:sz w:val="20"/>
          <w:szCs w:val="20"/>
          <w:color w:val="auto"/>
        </w:rPr>
      </w:pPr>
      <w:r>
        <w:rPr>
          <w:rFonts w:ascii="Times New Roman" w:cs="Times New Roman" w:eastAsia="Times New Roman" w:hAnsi="Times New Roman"/>
          <w:sz w:val="13"/>
          <w:szCs w:val="13"/>
          <w:color w:val="auto"/>
        </w:rPr>
        <w:t>Investment in the Company’s Class A Common Stock involves a high degree of risk. You should read the section titled “Risk Factors” in this prospectus and in the documents incorporated by reference into this prospectus for a discussion of factors to consider before deciding to purchase shares of Class A Common Stock.</w:t>
      </w:r>
    </w:p>
    <w:p>
      <w:pPr>
        <w:spacing w:after="0" w:line="151" w:lineRule="exact"/>
        <w:rPr>
          <w:sz w:val="20"/>
          <w:szCs w:val="20"/>
          <w:color w:val="auto"/>
        </w:rPr>
      </w:pPr>
    </w:p>
    <w:p>
      <w:pPr>
        <w:sectPr>
          <w:pgSz w:w="11900" w:h="16838" w:orient="portrait"/>
          <w:cols w:equalWidth="0" w:num="2">
            <w:col w:w="3960" w:space="720"/>
            <w:col w:w="5479"/>
          </w:cols>
          <w:pgMar w:left="300" w:top="375" w:right="1440" w:bottom="1440" w:gutter="0" w:footer="0" w:header="0"/>
          <w:type w:val="continuous"/>
        </w:sectPr>
      </w:pPr>
    </w:p>
    <w:p>
      <w:pPr>
        <w:ind w:left="1660"/>
        <w:spacing w:after="0"/>
        <w:rPr>
          <w:sz w:val="20"/>
          <w:szCs w:val="20"/>
          <w:color w:val="auto"/>
        </w:rPr>
      </w:pPr>
      <w:r>
        <w:rPr>
          <w:rFonts w:ascii="Times New Roman" w:cs="Times New Roman" w:eastAsia="Times New Roman" w:hAnsi="Times New Roman"/>
          <w:sz w:val="13"/>
          <w:szCs w:val="13"/>
          <w:color w:val="auto"/>
        </w:rPr>
        <w:t>Nasdaq Capital Market Symbol</w:t>
      </w:r>
    </w:p>
    <w:p>
      <w:pPr>
        <w:spacing w:after="0" w:line="20" w:lineRule="exact"/>
        <w:rPr>
          <w:sz w:val="20"/>
          <w:szCs w:val="20"/>
          <w:color w:val="auto"/>
        </w:rPr>
      </w:pPr>
      <w:r>
        <w:rPr>
          <w:sz w:val="20"/>
          <w:szCs w:val="20"/>
          <w:color w:val="auto"/>
        </w:rPr>
        <w:br w:type="column"/>
      </w:r>
    </w:p>
    <w:p>
      <w:pPr>
        <w:jc w:val="center"/>
        <w:ind w:right="1339"/>
        <w:spacing w:after="0"/>
        <w:rPr>
          <w:sz w:val="20"/>
          <w:szCs w:val="20"/>
          <w:color w:val="auto"/>
        </w:rPr>
      </w:pPr>
      <w:r>
        <w:rPr>
          <w:rFonts w:ascii="Times New Roman" w:cs="Times New Roman" w:eastAsia="Times New Roman" w:hAnsi="Times New Roman"/>
          <w:sz w:val="13"/>
          <w:szCs w:val="13"/>
          <w:color w:val="auto"/>
        </w:rPr>
        <w:t>The Class A Common Stock is traded on Nasdaq under the symbol “CBUS.”</w:t>
      </w:r>
    </w:p>
    <w:p>
      <w:pPr>
        <w:spacing w:after="0" w:line="183" w:lineRule="exact"/>
        <w:rPr>
          <w:sz w:val="20"/>
          <w:szCs w:val="20"/>
          <w:color w:val="auto"/>
        </w:rPr>
      </w:pPr>
    </w:p>
    <w:p>
      <w:pPr>
        <w:sectPr>
          <w:pgSz w:w="11900" w:h="16838" w:orient="portrait"/>
          <w:cols w:equalWidth="0" w:num="2">
            <w:col w:w="3960" w:space="720"/>
            <w:col w:w="5479"/>
          </w:cols>
          <w:pgMar w:left="300" w:top="375" w:right="1440" w:bottom="1440" w:gutter="0" w:footer="0" w:header="0"/>
          <w:type w:val="continuous"/>
        </w:sectPr>
      </w:pPr>
    </w:p>
    <w:p>
      <w:pPr>
        <w:ind w:left="1660" w:right="859" w:firstLine="318"/>
        <w:spacing w:after="0" w:line="278" w:lineRule="auto"/>
        <w:rPr>
          <w:sz w:val="20"/>
          <w:szCs w:val="20"/>
          <w:color w:val="auto"/>
        </w:rPr>
      </w:pPr>
      <w:r>
        <w:rPr>
          <w:rFonts w:ascii="Times New Roman" w:cs="Times New Roman" w:eastAsia="Times New Roman" w:hAnsi="Times New Roman"/>
          <w:sz w:val="13"/>
          <w:szCs w:val="13"/>
          <w:color w:val="auto"/>
        </w:rPr>
        <w:t>The number of shares to be outstanding after this offering is based on 76,345,736 shares of Class A Common Stock (inclusive of 62,641 shares of restricted Class A Common Stock, which are outstanding, subject to vesting conditions) and no shares of Class B Common Stock outstanding as of March 31, 2026 and excludes, in each case as of that date (unless otherwise indicated):</w:t>
      </w:r>
    </w:p>
    <w:p>
      <w:pPr>
        <w:spacing w:after="0" w:line="55" w:lineRule="exact"/>
        <w:rPr>
          <w:sz w:val="20"/>
          <w:szCs w:val="20"/>
          <w:color w:val="auto"/>
        </w:rPr>
      </w:pPr>
    </w:p>
    <w:p>
      <w:pPr>
        <w:ind w:left="2360" w:right="619" w:hanging="298"/>
        <w:spacing w:after="0" w:line="297" w:lineRule="auto"/>
        <w:tabs>
          <w:tab w:leader="none" w:pos="2360"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1,434,633 shares of Class A Common Stock issuable upon the exercise of outstanding stock options with a weighted average exercise price of $27.48 per share;</w:t>
      </w:r>
    </w:p>
    <w:p>
      <w:pPr>
        <w:spacing w:after="0" w:line="43" w:lineRule="exact"/>
        <w:rPr>
          <w:rFonts w:ascii="Times New Roman" w:cs="Times New Roman" w:eastAsia="Times New Roman" w:hAnsi="Times New Roman"/>
          <w:sz w:val="13"/>
          <w:szCs w:val="13"/>
          <w:color w:val="auto"/>
        </w:rPr>
      </w:pPr>
    </w:p>
    <w:p>
      <w:pPr>
        <w:ind w:left="2360" w:hanging="298"/>
        <w:spacing w:after="0"/>
        <w:tabs>
          <w:tab w:leader="none" w:pos="2360"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1,171,264 shares of Class A Common Stock issuable upon the vesting and settlement of restricted stock units outstanding;</w:t>
      </w:r>
    </w:p>
    <w:p>
      <w:pPr>
        <w:spacing w:after="0" w:line="102" w:lineRule="exact"/>
        <w:rPr>
          <w:rFonts w:ascii="Times New Roman" w:cs="Times New Roman" w:eastAsia="Times New Roman" w:hAnsi="Times New Roman"/>
          <w:sz w:val="13"/>
          <w:szCs w:val="13"/>
          <w:color w:val="auto"/>
        </w:rPr>
      </w:pPr>
    </w:p>
    <w:p>
      <w:pPr>
        <w:ind w:left="2360" w:hanging="298"/>
        <w:spacing w:after="0"/>
        <w:tabs>
          <w:tab w:leader="none" w:pos="2360"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5,305,236 shares of Class A Common Stock reserved for future issuance under the Company’s equity compensation plan; and</w:t>
      </w:r>
    </w:p>
    <w:p>
      <w:pPr>
        <w:spacing w:after="0" w:line="102" w:lineRule="exact"/>
        <w:rPr>
          <w:rFonts w:ascii="Times New Roman" w:cs="Times New Roman" w:eastAsia="Times New Roman" w:hAnsi="Times New Roman"/>
          <w:sz w:val="13"/>
          <w:szCs w:val="13"/>
          <w:color w:val="auto"/>
        </w:rPr>
      </w:pPr>
    </w:p>
    <w:p>
      <w:pPr>
        <w:ind w:left="2360" w:right="839" w:hanging="298"/>
        <w:spacing w:after="0" w:line="297" w:lineRule="auto"/>
        <w:tabs>
          <w:tab w:leader="none" w:pos="2360"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158,483 shares of Class A Common Stock issuable upon exercise of outstanding common warrants to purchase Class A Common Stock, each with an exercise price of $69.04 per share of Class A Common Stock.</w:t>
      </w:r>
    </w:p>
    <w:p>
      <w:pPr>
        <w:spacing w:after="0" w:line="114" w:lineRule="exact"/>
        <w:rPr>
          <w:sz w:val="20"/>
          <w:szCs w:val="20"/>
          <w:color w:val="auto"/>
        </w:rPr>
      </w:pPr>
    </w:p>
    <w:p>
      <w:pPr>
        <w:ind w:left="1660" w:right="779" w:firstLine="318"/>
        <w:spacing w:after="0" w:line="278" w:lineRule="auto"/>
        <w:rPr>
          <w:sz w:val="20"/>
          <w:szCs w:val="20"/>
          <w:color w:val="auto"/>
        </w:rPr>
      </w:pPr>
      <w:r>
        <w:rPr>
          <w:rFonts w:ascii="Times New Roman" w:cs="Times New Roman" w:eastAsia="Times New Roman" w:hAnsi="Times New Roman"/>
          <w:sz w:val="13"/>
          <w:szCs w:val="13"/>
          <w:color w:val="auto"/>
        </w:rPr>
        <w:t>Unless otherwise stated, information in this prospectus assumes no further exercise of outstanding options or other warrants and no future issuances by Cibus of shares of its Class A Common Stock or securities convertible into or exercisable for Cibus’ Class A Common Stock, including as part of any future offerings of such securities.</w:t>
      </w:r>
    </w:p>
    <w:p>
      <w:pPr>
        <w:spacing w:after="0" w:line="2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3</w:t>
      </w:r>
    </w:p>
    <w:p>
      <w:pPr>
        <w:sectPr>
          <w:pgSz w:w="11900" w:h="16838" w:orient="portrait"/>
          <w:cols w:equalWidth="0" w:num="1">
            <w:col w:w="10159"/>
          </w:cols>
          <w:pgMar w:left="300" w:top="375" w:right="1440" w:bottom="1440" w:gutter="0" w:footer="0" w:header="0"/>
          <w:type w:val="continuous"/>
        </w:sectPr>
      </w:pPr>
    </w:p>
    <w:bookmarkStart w:id="66" w:name="page67"/>
    <w:bookmarkEnd w:id="66"/>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4">
                      <a:extLst>
                        <a:ext uri="{28A0092B-C50C-407E-A947-70E740481C1C}"/>
                      </a:extLst>
                    </a:blip>
                    <a:srcRect/>
                    <a:stretch>
                      <a:fillRect/>
                    </a:stretch>
                  </pic:blipFill>
                  <pic:spPr bwMode="auto">
                    <a:xfrm>
                      <a:off x="0" y="0"/>
                      <a:ext cx="7205345" cy="31750"/>
                    </a:xfrm>
                    <a:prstGeom prst="rect">
                      <a:avLst/>
                    </a:prstGeom>
                    <a:noFill/>
                  </pic:spPr>
                </pic:pic>
              </a:graphicData>
            </a:graphic>
          </wp:anchor>
        </w:drawing>
        <w:t>Table of Contents</w:t>
      </w:r>
    </w:p>
    <w:p>
      <w:pPr>
        <w:spacing w:after="0" w:line="24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3"/>
          <w:szCs w:val="13"/>
          <w:b w:val="1"/>
          <w:bCs w:val="1"/>
          <w:color w:val="auto"/>
        </w:rPr>
        <w:t>RISK FACTORS</w:t>
      </w:r>
    </w:p>
    <w:p>
      <w:pPr>
        <w:spacing w:after="0" w:line="175" w:lineRule="exact"/>
        <w:rPr>
          <w:sz w:val="20"/>
          <w:szCs w:val="20"/>
          <w:color w:val="auto"/>
        </w:rPr>
      </w:pPr>
    </w:p>
    <w:p>
      <w:pPr>
        <w:ind w:left="1540" w:right="459" w:firstLine="329"/>
        <w:spacing w:after="0" w:line="264" w:lineRule="auto"/>
        <w:rPr>
          <w:sz w:val="20"/>
          <w:szCs w:val="20"/>
          <w:color w:val="auto"/>
        </w:rPr>
      </w:pPr>
      <w:r>
        <w:rPr>
          <w:rFonts w:ascii="Times New Roman" w:cs="Times New Roman" w:eastAsia="Times New Roman" w:hAnsi="Times New Roman"/>
          <w:sz w:val="13"/>
          <w:szCs w:val="13"/>
          <w:i w:val="1"/>
          <w:iCs w:val="1"/>
          <w:color w:val="auto"/>
        </w:rPr>
        <w:t>You should consider carefully the risks described below and those risk factors described under the heading “Item 1.A. Risk Factors” in the Company’s Annual Report on Form 10-K for the fiscal year ended December 31, 2025, as may be updated by Cibus’ subsequent filings under the Exchange Act that are incorporated by reference in this prospectus, in their entirety, together with other information in this prospectus and the information and documents incorporated by reference in this prospectus and any free writing prospectus that Cibus may authorize for use in connection with this offering before you make a decision to invest in the Company’s securities. If any of these risks actually occur, Cibus’ business, operating results, prospects or financial condition could be harmed. This could cause the trading price of the Class A Common Stock to decline and you may lose all or part of your investment. The risks below and incorporated by reference in this prospectus are not the only ones the Company faces. Additional risks not currently known to Cibus or that the Company currently deems immaterial may also affect Cibus’ business operations and financial performance. Please also read carefully the section below titled “Cautionary Note Regarding Forward-Looking Statements.”</w:t>
      </w:r>
    </w:p>
    <w:p>
      <w:pPr>
        <w:spacing w:after="0" w:line="211"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3"/>
          <w:szCs w:val="13"/>
          <w:b w:val="1"/>
          <w:bCs w:val="1"/>
          <w:color w:val="auto"/>
        </w:rPr>
        <w:t>Risks Relating to the Offering</w:t>
      </w:r>
    </w:p>
    <w:p>
      <w:pPr>
        <w:spacing w:after="0" w:line="92"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3"/>
          <w:szCs w:val="13"/>
          <w:b w:val="1"/>
          <w:bCs w:val="1"/>
          <w:i w:val="1"/>
          <w:iCs w:val="1"/>
          <w:color w:val="auto"/>
        </w:rPr>
        <w:t>If you exercise Warrants, you will experience substantial and immediate dilution.</w:t>
      </w:r>
    </w:p>
    <w:p>
      <w:pPr>
        <w:spacing w:after="0" w:line="96" w:lineRule="exact"/>
        <w:rPr>
          <w:sz w:val="20"/>
          <w:szCs w:val="20"/>
          <w:color w:val="auto"/>
        </w:rPr>
      </w:pPr>
    </w:p>
    <w:p>
      <w:pPr>
        <w:ind w:left="1540" w:right="419" w:firstLine="329"/>
        <w:spacing w:after="0" w:line="266" w:lineRule="auto"/>
        <w:rPr>
          <w:sz w:val="20"/>
          <w:szCs w:val="20"/>
          <w:color w:val="auto"/>
        </w:rPr>
      </w:pPr>
      <w:r>
        <w:rPr>
          <w:rFonts w:ascii="Times New Roman" w:cs="Times New Roman" w:eastAsia="Times New Roman" w:hAnsi="Times New Roman"/>
          <w:sz w:val="13"/>
          <w:szCs w:val="13"/>
          <w:color w:val="auto"/>
        </w:rPr>
        <w:t>The exercise price of the Warrants, other than with respect to the 2025 Pre-Funded Warrants, is substantially higher than the net tangible book value per share of the Class A Common Stock as of March 31, 2026. If you purchase shares of Class A Common Stock upon the exercise of such Warrants, you will experience immediate and substantial dilution to the extent of the difference between the exercise price per share and the adjusted net tangible book value per share of the Class A Common Stock as of March 31, 2026, as adjusted to give effect to the exercise of all outstanding Warrants. For a further description of the dilution that you will experience immediately after the exercise of the Warrants, see the section in this prospectus entitled “Dilution” beginning on page 24.</w:t>
      </w:r>
    </w:p>
    <w:p>
      <w:pPr>
        <w:spacing w:after="0" w:line="211"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3"/>
          <w:szCs w:val="13"/>
          <w:b w:val="1"/>
          <w:bCs w:val="1"/>
          <w:i w:val="1"/>
          <w:iCs w:val="1"/>
          <w:color w:val="auto"/>
        </w:rPr>
        <w:t>You may experience future dilution as a result of future equity offerings.</w:t>
      </w:r>
    </w:p>
    <w:p>
      <w:pPr>
        <w:spacing w:after="0" w:line="96" w:lineRule="exact"/>
        <w:rPr>
          <w:sz w:val="20"/>
          <w:szCs w:val="20"/>
          <w:color w:val="auto"/>
        </w:rPr>
      </w:pPr>
    </w:p>
    <w:p>
      <w:pPr>
        <w:ind w:left="1540" w:right="479" w:firstLine="329"/>
        <w:spacing w:after="0" w:line="278" w:lineRule="auto"/>
        <w:rPr>
          <w:sz w:val="20"/>
          <w:szCs w:val="20"/>
          <w:color w:val="auto"/>
        </w:rPr>
      </w:pPr>
      <w:r>
        <w:rPr>
          <w:rFonts w:ascii="Times New Roman" w:cs="Times New Roman" w:eastAsia="Times New Roman" w:hAnsi="Times New Roman"/>
          <w:sz w:val="13"/>
          <w:szCs w:val="13"/>
          <w:color w:val="auto"/>
        </w:rPr>
        <w:t>Cibus expects in the future to seek to raise additional equity financing, including through the offer of additional shares of Class A Common Stock or other securities convertible into or exchangeable for Class A Common Stock. Such additional equity offerings may occur in the near term. Sales of shares of Class A Common Stock would result in dilution to Cibus’ stockholders.</w:t>
      </w:r>
    </w:p>
    <w:p>
      <w:pPr>
        <w:spacing w:after="0" w:line="125" w:lineRule="exact"/>
        <w:rPr>
          <w:sz w:val="20"/>
          <w:szCs w:val="20"/>
          <w:color w:val="auto"/>
        </w:rPr>
      </w:pPr>
    </w:p>
    <w:p>
      <w:pPr>
        <w:ind w:left="1540" w:right="539" w:firstLine="329"/>
        <w:spacing w:after="0" w:line="270" w:lineRule="auto"/>
        <w:rPr>
          <w:sz w:val="20"/>
          <w:szCs w:val="20"/>
          <w:color w:val="auto"/>
        </w:rPr>
      </w:pPr>
      <w:r>
        <w:rPr>
          <w:rFonts w:ascii="Times New Roman" w:cs="Times New Roman" w:eastAsia="Times New Roman" w:hAnsi="Times New Roman"/>
          <w:sz w:val="13"/>
          <w:szCs w:val="13"/>
          <w:color w:val="auto"/>
        </w:rPr>
        <w:t>Cibus cannot assure you that it will be able to sell shares of Class A Common Stock or other securities in any other offering at a price per share that is equal to or greater than the exercise price per share paid by holders of Warrants, and investors purchasing shares or other securities in the future could have rights superior to existing stockholders. The price per share at which Cibus sells additional shares of Class A Common Stock or other securities convertible into or exchangeable for Class A Common Stock in future transactions may be higher or lower than the exercise price of the Warrants.</w:t>
      </w:r>
    </w:p>
    <w:p>
      <w:pPr>
        <w:spacing w:after="0" w:line="295" w:lineRule="exact"/>
        <w:rPr>
          <w:sz w:val="20"/>
          <w:szCs w:val="20"/>
          <w:color w:val="auto"/>
        </w:rPr>
      </w:pPr>
    </w:p>
    <w:p>
      <w:pPr>
        <w:ind w:left="1540" w:right="619" w:firstLine="329"/>
        <w:spacing w:after="0" w:line="268" w:lineRule="auto"/>
        <w:rPr>
          <w:sz w:val="20"/>
          <w:szCs w:val="20"/>
          <w:color w:val="auto"/>
        </w:rPr>
      </w:pPr>
      <w:r>
        <w:rPr>
          <w:rFonts w:ascii="Times New Roman" w:cs="Times New Roman" w:eastAsia="Times New Roman" w:hAnsi="Times New Roman"/>
          <w:sz w:val="13"/>
          <w:szCs w:val="13"/>
          <w:color w:val="auto"/>
        </w:rPr>
        <w:t>Furthermore, if outstanding options or other warrants are exercised, you could experience further equity dilution. As of March 31, 2026, approximately 6.0 million shares of Class A Common Stock were either subject to vesting restrictions, issuable upon exercise of outstanding options, issuable upon vesting and settlement of outstanding restricted stock units, issuable upon exercise of outstanding common warrants (other than the Warrants) or reserved for future issuance under the Company’s equity compensation plans and are eligible for sale in the public market to the extent permitted by the provisions of various vesting schedules.</w:t>
      </w:r>
    </w:p>
    <w:p>
      <w:pPr>
        <w:spacing w:after="0" w:line="133" w:lineRule="exact"/>
        <w:rPr>
          <w:sz w:val="20"/>
          <w:szCs w:val="20"/>
          <w:color w:val="auto"/>
        </w:rPr>
      </w:pPr>
    </w:p>
    <w:p>
      <w:pPr>
        <w:jc w:val="both"/>
        <w:ind w:left="1540" w:right="419" w:firstLine="329"/>
        <w:spacing w:after="0" w:line="271" w:lineRule="auto"/>
        <w:rPr>
          <w:sz w:val="20"/>
          <w:szCs w:val="20"/>
          <w:color w:val="auto"/>
        </w:rPr>
      </w:pPr>
      <w:r>
        <w:rPr>
          <w:rFonts w:ascii="Times New Roman" w:cs="Times New Roman" w:eastAsia="Times New Roman" w:hAnsi="Times New Roman"/>
          <w:sz w:val="13"/>
          <w:szCs w:val="13"/>
          <w:color w:val="auto"/>
        </w:rPr>
        <w:t>If Cibus’ large stockholders sell a substantial number of shares of Class A Common Stock in either the private or public markets, the market price of the Class A Common Stock could decrease materially. The perception in the public market that these stockholders might sell Class A Common Stock could also depress the market price of the Class A Common Stock and could impair Cibus’ future ability to obtain capital, especially through an offering of equity securities.</w:t>
      </w:r>
    </w:p>
    <w:p>
      <w:pPr>
        <w:spacing w:after="0" w:line="8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4</w:t>
      </w:r>
    </w:p>
    <w:p>
      <w:pPr>
        <w:sectPr>
          <w:pgSz w:w="11900" w:h="16838" w:orient="portrait"/>
          <w:cols w:equalWidth="0" w:num="1">
            <w:col w:w="10159"/>
          </w:cols>
          <w:pgMar w:left="300" w:top="375" w:right="1440"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5">
                      <a:extLst>
                        <a:ext uri="{28A0092B-C50C-407E-A947-70E740481C1C}"/>
                      </a:extLst>
                    </a:blip>
                    <a:srcRect/>
                    <a:stretch>
                      <a:fillRect/>
                    </a:stretch>
                  </pic:blipFill>
                  <pic:spPr bwMode="auto">
                    <a:xfrm>
                      <a:off x="0" y="0"/>
                      <a:ext cx="7205345" cy="31750"/>
                    </a:xfrm>
                    <a:prstGeom prst="rect">
                      <a:avLst/>
                    </a:prstGeom>
                    <a:noFill/>
                  </pic:spPr>
                </pic:pic>
              </a:graphicData>
            </a:graphic>
          </wp:anchor>
        </w:drawing>
        <w:t>Table of Contents</w:t>
      </w:r>
    </w:p>
    <w:p>
      <w:pPr>
        <w:spacing w:after="0" w:line="248" w:lineRule="exact"/>
        <w:rPr>
          <w:sz w:val="20"/>
          <w:szCs w:val="20"/>
          <w:color w:val="auto"/>
        </w:rPr>
      </w:pPr>
    </w:p>
    <w:p>
      <w:pPr>
        <w:ind w:left="1540" w:right="799" w:firstLine="329"/>
        <w:spacing w:after="0" w:line="297" w:lineRule="auto"/>
        <w:rPr>
          <w:sz w:val="20"/>
          <w:szCs w:val="20"/>
          <w:color w:val="auto"/>
        </w:rPr>
      </w:pPr>
      <w:r>
        <w:rPr>
          <w:rFonts w:ascii="Times New Roman" w:cs="Times New Roman" w:eastAsia="Times New Roman" w:hAnsi="Times New Roman"/>
          <w:sz w:val="13"/>
          <w:szCs w:val="13"/>
          <w:color w:val="auto"/>
        </w:rPr>
        <w:t>Additionally, shares of Class A Common Stock issued or issuable under Cibus’ equity incentive plans to employees and directors have been registered on Form S-8 registration statements and may be freely sold in the public market upon issuance.</w:t>
      </w:r>
    </w:p>
    <w:p>
      <w:pPr>
        <w:spacing w:after="0" w:line="190" w:lineRule="exact"/>
        <w:rPr>
          <w:sz w:val="20"/>
          <w:szCs w:val="20"/>
          <w:color w:val="auto"/>
        </w:rPr>
      </w:pPr>
    </w:p>
    <w:p>
      <w:pPr>
        <w:ind w:left="1540" w:right="539"/>
        <w:spacing w:after="0" w:line="304" w:lineRule="auto"/>
        <w:rPr>
          <w:sz w:val="20"/>
          <w:szCs w:val="20"/>
          <w:color w:val="auto"/>
        </w:rPr>
      </w:pPr>
      <w:r>
        <w:rPr>
          <w:rFonts w:ascii="Times New Roman" w:cs="Times New Roman" w:eastAsia="Times New Roman" w:hAnsi="Times New Roman"/>
          <w:sz w:val="13"/>
          <w:szCs w:val="13"/>
          <w:b w:val="1"/>
          <w:bCs w:val="1"/>
          <w:i w:val="1"/>
          <w:iCs w:val="1"/>
          <w:color w:val="auto"/>
        </w:rPr>
        <w:t>Cibus’ management will have broad discretion over the use of the proceeds the Company receives upon the exercise of the Warrants and might not apply the proceeds in ways that increase the value of your investment.</w:t>
      </w:r>
    </w:p>
    <w:p>
      <w:pPr>
        <w:spacing w:after="0" w:line="28" w:lineRule="exact"/>
        <w:rPr>
          <w:sz w:val="20"/>
          <w:szCs w:val="20"/>
          <w:color w:val="auto"/>
        </w:rPr>
      </w:pPr>
    </w:p>
    <w:p>
      <w:pPr>
        <w:ind w:left="1540" w:right="499" w:firstLine="329"/>
        <w:spacing w:after="0" w:line="263" w:lineRule="auto"/>
        <w:rPr>
          <w:sz w:val="20"/>
          <w:szCs w:val="20"/>
          <w:color w:val="auto"/>
        </w:rPr>
      </w:pPr>
      <w:r>
        <w:rPr>
          <w:rFonts w:ascii="Times New Roman" w:cs="Times New Roman" w:eastAsia="Times New Roman" w:hAnsi="Times New Roman"/>
          <w:sz w:val="13"/>
          <w:szCs w:val="13"/>
          <w:color w:val="auto"/>
        </w:rPr>
        <w:t>Cibus’ management will have broad discretion to use the net proceeds from the exercise of Warrants, and you will be relying on the judgment of Cibus’ management regarding the application of these proceeds. You will not have the opportunity to influence Cibus’ decisions on how to use the proceeds, and Cibus may not apply the net proceeds of this offering in ways that increase the value of your investment. Because of the number and variability of factors that will determine Cibus’ use of the net proceeds from this offering, their ultimate use may vary substantially from their currently intended use. The failure by Cibus’ management to apply these funds effectively could harm the Company’s business. Pending their use, Cibus intends to invest the net proceeds from this offering in marketable securities that may include investment-grade interest-bearing securities, money market accounts, certificates of deposit, commercial paper and guaranteed obligations of the U.S. government in accordance with the Company’s investment policy. These investments may not yield a favorable return to Cibus’ stockholders. If Cibus does not invest or apply the net proceeds from this offering in ways that enhance stockholder value, Cibus may fail to achieve expected financial results, which could cause its stock price to decline.</w:t>
      </w:r>
    </w:p>
    <w:p>
      <w:pPr>
        <w:spacing w:after="0" w:line="215" w:lineRule="exact"/>
        <w:rPr>
          <w:sz w:val="20"/>
          <w:szCs w:val="20"/>
          <w:color w:val="auto"/>
        </w:rPr>
      </w:pPr>
    </w:p>
    <w:p>
      <w:pPr>
        <w:ind w:left="1540" w:right="459"/>
        <w:spacing w:after="0" w:line="304" w:lineRule="auto"/>
        <w:rPr>
          <w:sz w:val="20"/>
          <w:szCs w:val="20"/>
          <w:color w:val="auto"/>
        </w:rPr>
      </w:pPr>
      <w:r>
        <w:rPr>
          <w:rFonts w:ascii="Times New Roman" w:cs="Times New Roman" w:eastAsia="Times New Roman" w:hAnsi="Times New Roman"/>
          <w:sz w:val="13"/>
          <w:szCs w:val="13"/>
          <w:b w:val="1"/>
          <w:bCs w:val="1"/>
          <w:i w:val="1"/>
          <w:iCs w:val="1"/>
          <w:color w:val="auto"/>
        </w:rPr>
        <w:t>Cibus has not paid dividends in the past and does not expect to pay dividends in the future, and, as a result, any return on investment may be limited to the value of the Class A Common Stock.</w:t>
      </w:r>
    </w:p>
    <w:p>
      <w:pPr>
        <w:spacing w:after="0" w:line="28" w:lineRule="exact"/>
        <w:rPr>
          <w:sz w:val="20"/>
          <w:szCs w:val="20"/>
          <w:color w:val="auto"/>
        </w:rPr>
      </w:pPr>
    </w:p>
    <w:p>
      <w:pPr>
        <w:ind w:left="1540" w:right="599" w:firstLine="329"/>
        <w:spacing w:after="0" w:line="271" w:lineRule="auto"/>
        <w:rPr>
          <w:sz w:val="20"/>
          <w:szCs w:val="20"/>
          <w:color w:val="auto"/>
        </w:rPr>
      </w:pPr>
      <w:r>
        <w:rPr>
          <w:rFonts w:ascii="Times New Roman" w:cs="Times New Roman" w:eastAsia="Times New Roman" w:hAnsi="Times New Roman"/>
          <w:sz w:val="13"/>
          <w:szCs w:val="13"/>
          <w:color w:val="auto"/>
        </w:rPr>
        <w:t>Cibus has never paid dividends and does not anticipate paying dividends in the foreseeable future. The payment of dividends will depend on Cibus’ earnings, capital requirements, financial condition, prospects and other factors Cibus’ board of directors may deem relevant. If Cibus does not pay dividends, the Class A Common Stock may be less valuable because a return on your investment will only occur if the price per share of Class A Common Stock appreciates and you sell the Class A Common Stock thereafter.</w:t>
      </w:r>
    </w:p>
    <w:p>
      <w:pPr>
        <w:spacing w:after="0" w:line="208" w:lineRule="exact"/>
        <w:rPr>
          <w:sz w:val="20"/>
          <w:szCs w:val="20"/>
          <w:color w:val="auto"/>
        </w:rPr>
      </w:pPr>
    </w:p>
    <w:p>
      <w:pPr>
        <w:ind w:left="1540" w:right="619"/>
        <w:spacing w:after="0" w:line="304" w:lineRule="auto"/>
        <w:rPr>
          <w:sz w:val="20"/>
          <w:szCs w:val="20"/>
          <w:color w:val="auto"/>
        </w:rPr>
      </w:pPr>
      <w:r>
        <w:rPr>
          <w:rFonts w:ascii="Times New Roman" w:cs="Times New Roman" w:eastAsia="Times New Roman" w:hAnsi="Times New Roman"/>
          <w:sz w:val="13"/>
          <w:szCs w:val="13"/>
          <w:b w:val="1"/>
          <w:bCs w:val="1"/>
          <w:i w:val="1"/>
          <w:iCs w:val="1"/>
          <w:color w:val="auto"/>
        </w:rPr>
        <w:t>The United States net operating loss carryforwards and certain other tax attributes of Cibus may be subject to limitations, including as a result of this offering.</w:t>
      </w:r>
    </w:p>
    <w:p>
      <w:pPr>
        <w:spacing w:after="0" w:line="28" w:lineRule="exact"/>
        <w:rPr>
          <w:sz w:val="20"/>
          <w:szCs w:val="20"/>
          <w:color w:val="auto"/>
        </w:rPr>
      </w:pPr>
    </w:p>
    <w:p>
      <w:pPr>
        <w:ind w:left="1540" w:right="499" w:firstLine="329"/>
        <w:spacing w:after="0" w:line="271" w:lineRule="auto"/>
        <w:rPr>
          <w:sz w:val="20"/>
          <w:szCs w:val="20"/>
          <w:color w:val="auto"/>
        </w:rPr>
      </w:pPr>
      <w:r>
        <w:rPr>
          <w:rFonts w:ascii="Times New Roman" w:cs="Times New Roman" w:eastAsia="Times New Roman" w:hAnsi="Times New Roman"/>
          <w:sz w:val="13"/>
          <w:szCs w:val="13"/>
          <w:color w:val="auto"/>
        </w:rPr>
        <w:t>As of December 31, 2025, Cibus had approximately $570.8 million of net operating loss carryforwards (NOLs) for federal and state income tax purposes, which may be available to offset federal and state income tax liabilities in the future. In addition, Cibus may generate additional NOLs in future years. Cibus established a full valuation allowance for its deferred tax assets, including NOLs, due to the uncertainty that enough taxable income will be generated to utilize the assets.</w:t>
      </w:r>
    </w:p>
    <w:p>
      <w:pPr>
        <w:spacing w:after="0" w:line="131" w:lineRule="exact"/>
        <w:rPr>
          <w:sz w:val="20"/>
          <w:szCs w:val="20"/>
          <w:color w:val="auto"/>
        </w:rPr>
      </w:pPr>
    </w:p>
    <w:p>
      <w:pPr>
        <w:ind w:left="1540" w:right="479" w:firstLine="329"/>
        <w:spacing w:after="0" w:line="263" w:lineRule="auto"/>
        <w:rPr>
          <w:sz w:val="20"/>
          <w:szCs w:val="20"/>
          <w:color w:val="auto"/>
        </w:rPr>
      </w:pPr>
      <w:r>
        <w:rPr>
          <w:rFonts w:ascii="Times New Roman" w:cs="Times New Roman" w:eastAsia="Times New Roman" w:hAnsi="Times New Roman"/>
          <w:sz w:val="13"/>
          <w:szCs w:val="13"/>
          <w:color w:val="auto"/>
        </w:rPr>
        <w:t>In general, a corporation’s ability to utilize its NOLs may be limited if it experiences an “ownership change” as defined in Section 382 of the Code. An ownership change generally occurs if certain direct or indirect five percent shareholders increase their aggregate percentage ownership of a corporation’s stock by more than 50 percentage points over their lowest percentage ownership at any time during the testing period, which is generally the three-year period preceding any potential ownership change. If a corporation experiences an ownership change, the corporation will be subject to an annual limitation that applies to the amount of pre-ownership change NOLs that may be used to offset post-ownership change taxable income. This limitation is generally determined by multiplying the value of the corporation’s stock immediately before the ownership change by the applicable long-term tax-exempt rate. Any unused annual limitation may, subject to certain limits, be carried over to later years, and the limitation may under certain circumstances be increased by built-in gains in the assets held by such corporation at the time of the ownership change. Similar rules and limitations may apply for state income tax purposes.</w:t>
      </w:r>
    </w:p>
    <w:p>
      <w:pPr>
        <w:spacing w:after="0" w:line="8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5</w:t>
      </w:r>
    </w:p>
    <w:p>
      <w:pPr>
        <w:sectPr>
          <w:pgSz w:w="11900" w:h="16838" w:orient="portrait"/>
          <w:cols w:equalWidth="0" w:num="1">
            <w:col w:w="10159"/>
          </w:cols>
          <w:pgMar w:left="300" w:top="375" w:right="1440"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6">
                      <a:extLst>
                        <a:ext uri="{28A0092B-C50C-407E-A947-70E740481C1C}"/>
                      </a:extLst>
                    </a:blip>
                    <a:srcRect/>
                    <a:stretch>
                      <a:fillRect/>
                    </a:stretch>
                  </pic:blipFill>
                  <pic:spPr bwMode="auto">
                    <a:xfrm>
                      <a:off x="0" y="0"/>
                      <a:ext cx="7205345" cy="31750"/>
                    </a:xfrm>
                    <a:prstGeom prst="rect">
                      <a:avLst/>
                    </a:prstGeom>
                    <a:noFill/>
                  </pic:spPr>
                </pic:pic>
              </a:graphicData>
            </a:graphic>
          </wp:anchor>
        </w:drawing>
        <w:t>Table of Contents</w:t>
      </w:r>
    </w:p>
    <w:p>
      <w:pPr>
        <w:spacing w:after="0" w:line="248" w:lineRule="exact"/>
        <w:rPr>
          <w:sz w:val="20"/>
          <w:szCs w:val="20"/>
          <w:color w:val="auto"/>
        </w:rPr>
      </w:pPr>
    </w:p>
    <w:p>
      <w:pPr>
        <w:ind w:left="1540" w:right="439" w:firstLine="329"/>
        <w:spacing w:after="0" w:line="262" w:lineRule="auto"/>
        <w:rPr>
          <w:sz w:val="20"/>
          <w:szCs w:val="20"/>
          <w:color w:val="auto"/>
        </w:rPr>
      </w:pPr>
      <w:r>
        <w:rPr>
          <w:rFonts w:ascii="Times New Roman" w:cs="Times New Roman" w:eastAsia="Times New Roman" w:hAnsi="Times New Roman"/>
          <w:sz w:val="13"/>
          <w:szCs w:val="13"/>
          <w:color w:val="auto"/>
        </w:rPr>
        <w:t>The Company completed a Section 382 analysis through December 31, 2023, and it was determined that the Company experienced an IRC 382 cumulative shift as of May 31, 2023, as a result of its merger with Cibus Global. The Company completed an additional analysis through each of December 31, 2025 and 2024, to determine if any additional cumulative shifts have occurred and concluded no Section 382 ownership change was identified in 2025 or 2024. For financial statement purposes, the Company has included the federal and state NOLs and R&amp;D credit in the schedule of deferred tax assets offset with a full valuation allowance. If eliminated, the related asset would be removed from the deferred tax asset schedule with a corresponding reduction in the valuation allowance. Due to the existence of the valuation allowance, limitations created by historical ownership changes will not impact the Company’s effective tax rate in the future. There is no assurance that Cibus will not experience additional ownership changes under Section 382 that would further limit or possibly eliminate its ability to use its NOLs. Cibus may experience ownership changes as a result of shifts in the direct or indirect ownership of its stock (including as a result of securities sold in this offering and/or in prior offerings), some of which may be outside of its control. There is also a risk that future legal or regulatory changes may limit Cibus’ ability to use current or future NOLs to offset its future federal income tax liabilities.</w:t>
      </w:r>
    </w:p>
    <w:p>
      <w:pPr>
        <w:spacing w:after="0" w:line="380" w:lineRule="exact"/>
        <w:rPr>
          <w:sz w:val="20"/>
          <w:szCs w:val="20"/>
          <w:color w:val="auto"/>
        </w:rPr>
      </w:pPr>
    </w:p>
    <w:p>
      <w:pPr>
        <w:ind w:left="1540" w:right="659"/>
        <w:spacing w:after="0" w:line="304" w:lineRule="auto"/>
        <w:rPr>
          <w:sz w:val="20"/>
          <w:szCs w:val="20"/>
          <w:color w:val="auto"/>
        </w:rPr>
      </w:pPr>
      <w:r>
        <w:rPr>
          <w:rFonts w:ascii="Times New Roman" w:cs="Times New Roman" w:eastAsia="Times New Roman" w:hAnsi="Times New Roman"/>
          <w:sz w:val="13"/>
          <w:szCs w:val="13"/>
          <w:b w:val="1"/>
          <w:bCs w:val="1"/>
          <w:i w:val="1"/>
          <w:iCs w:val="1"/>
          <w:color w:val="auto"/>
        </w:rPr>
        <w:t>The market price of the Class A Common Stock has been and could remain volatile, which could adversely affect the market price of the Class A Common Stock.</w:t>
      </w:r>
    </w:p>
    <w:p>
      <w:pPr>
        <w:spacing w:after="0" w:line="28" w:lineRule="exact"/>
        <w:rPr>
          <w:sz w:val="20"/>
          <w:szCs w:val="20"/>
          <w:color w:val="auto"/>
        </w:rPr>
      </w:pPr>
    </w:p>
    <w:p>
      <w:pPr>
        <w:ind w:left="1540" w:right="399" w:firstLine="329"/>
        <w:spacing w:after="0" w:line="266" w:lineRule="auto"/>
        <w:rPr>
          <w:sz w:val="20"/>
          <w:szCs w:val="20"/>
          <w:color w:val="auto"/>
        </w:rPr>
      </w:pPr>
      <w:r>
        <w:rPr>
          <w:rFonts w:ascii="Times New Roman" w:cs="Times New Roman" w:eastAsia="Times New Roman" w:hAnsi="Times New Roman"/>
          <w:sz w:val="13"/>
          <w:szCs w:val="13"/>
          <w:color w:val="auto"/>
        </w:rPr>
        <w:t>The market price of the Class A Common Stock has experienced, and may continue to experience, volatility in response to various factors. Between the closing date of Cibus’ merger with Cibus Global on May 31, 2023 and May 14, 2026, the closing price of the Class A Common Stock on Nasdaq fluctuated from a high of $31.50 per share to a low of $1.16 per share. Some factors that may cause the market price of the Class A Common Stock to fluctuate include Cibus’ perceived prospects or the perceptions of the market of the Company’s pipeline, new products or technologies, changes in securities analysts’ recommendations or earnings estimates and Cibus’ ability to meet such estimates, changes in general conditions in the economy or the financial markets, capital raising activity and other developments affecting Cibus or its competitors.</w:t>
      </w:r>
    </w:p>
    <w:p>
      <w:pPr>
        <w:spacing w:after="0" w:line="135" w:lineRule="exact"/>
        <w:rPr>
          <w:sz w:val="20"/>
          <w:szCs w:val="20"/>
          <w:color w:val="auto"/>
        </w:rPr>
      </w:pPr>
    </w:p>
    <w:p>
      <w:pPr>
        <w:ind w:left="1540" w:right="439" w:firstLine="329"/>
        <w:spacing w:after="0" w:line="278" w:lineRule="auto"/>
        <w:rPr>
          <w:sz w:val="20"/>
          <w:szCs w:val="20"/>
          <w:color w:val="auto"/>
        </w:rPr>
      </w:pPr>
      <w:r>
        <w:rPr>
          <w:rFonts w:ascii="Times New Roman" w:cs="Times New Roman" w:eastAsia="Times New Roman" w:hAnsi="Times New Roman"/>
          <w:sz w:val="13"/>
          <w:szCs w:val="13"/>
          <w:color w:val="auto"/>
        </w:rPr>
        <w:t>These and other market and industry factors may cause the market price and demand for the Class A Common Stock to fluctuate substantially, regardless of Cibus’ actual operating performance, which may limit or prevent investors from readily selling their Class A Common Stock at a favorable price or at all and may otherwise negatively affect the liquidity of the Class A Common Stock.</w:t>
      </w:r>
    </w:p>
    <w:p>
      <w:pPr>
        <w:spacing w:after="0" w:line="202" w:lineRule="exact"/>
        <w:rPr>
          <w:sz w:val="20"/>
          <w:szCs w:val="20"/>
          <w:color w:val="auto"/>
        </w:rPr>
      </w:pPr>
    </w:p>
    <w:p>
      <w:pPr>
        <w:ind w:left="1540" w:right="479"/>
        <w:spacing w:after="0" w:line="304" w:lineRule="auto"/>
        <w:rPr>
          <w:sz w:val="20"/>
          <w:szCs w:val="20"/>
          <w:color w:val="auto"/>
        </w:rPr>
      </w:pPr>
      <w:r>
        <w:rPr>
          <w:rFonts w:ascii="Times New Roman" w:cs="Times New Roman" w:eastAsia="Times New Roman" w:hAnsi="Times New Roman"/>
          <w:sz w:val="13"/>
          <w:szCs w:val="13"/>
          <w:b w:val="1"/>
          <w:bCs w:val="1"/>
          <w:i w:val="1"/>
          <w:iCs w:val="1"/>
          <w:color w:val="auto"/>
        </w:rPr>
        <w:t>If securities or industry analysts do not publish research or reports about Cibus’ business, or if they issue adverse or misleading opinions regarding the Company’s Class A Common Stock, the price of the Class A Common Stock and trading volume could decline.</w:t>
      </w:r>
    </w:p>
    <w:p>
      <w:pPr>
        <w:spacing w:after="0" w:line="28" w:lineRule="exact"/>
        <w:rPr>
          <w:sz w:val="20"/>
          <w:szCs w:val="20"/>
          <w:color w:val="auto"/>
        </w:rPr>
      </w:pPr>
    </w:p>
    <w:p>
      <w:pPr>
        <w:ind w:left="1540" w:right="459" w:firstLine="329"/>
        <w:spacing w:after="0" w:line="266" w:lineRule="auto"/>
        <w:rPr>
          <w:sz w:val="20"/>
          <w:szCs w:val="20"/>
          <w:color w:val="auto"/>
        </w:rPr>
      </w:pPr>
      <w:r>
        <w:rPr>
          <w:rFonts w:ascii="Times New Roman" w:cs="Times New Roman" w:eastAsia="Times New Roman" w:hAnsi="Times New Roman"/>
          <w:sz w:val="13"/>
          <w:szCs w:val="13"/>
          <w:color w:val="auto"/>
        </w:rPr>
        <w:t>The trading market for the Class A Common Stock will be influenced by the research and reports that industry or securities analysts publish about Cibus or its business. If any of the analysts who cover Cibus issue an adverse or misleading opinion regarding the Company, its business model, its intellectual property or the performance of the Class A Common Stock, or if Cibus’ operating results fail to meet the expectations of analysts, including such analysts’ expectations regarding revenue timing or amounts, the price of the Class A Common Stock would likely decline. If one or more of these analysts cease coverage of Cibus or fail to publish reports on Cibus regularly, Cibus could lose visibility in the financial markets, which in turn could cause the price of the Class A Common Stock or trading volume to decline.</w:t>
      </w:r>
    </w:p>
    <w:p>
      <w:pPr>
        <w:spacing w:after="0" w:line="8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6</w:t>
      </w:r>
    </w:p>
    <w:p>
      <w:pPr>
        <w:sectPr>
          <w:pgSz w:w="11900" w:h="16838" w:orient="portrait"/>
          <w:cols w:equalWidth="0" w:num="1">
            <w:col w:w="10159"/>
          </w:cols>
          <w:pgMar w:left="300" w:top="375" w:right="1440"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7">
                      <a:extLst>
                        <a:ext uri="{28A0092B-C50C-407E-A947-70E740481C1C}"/>
                      </a:extLst>
                    </a:blip>
                    <a:srcRect/>
                    <a:stretch>
                      <a:fillRect/>
                    </a:stretch>
                  </pic:blipFill>
                  <pic:spPr bwMode="auto">
                    <a:xfrm>
                      <a:off x="0" y="0"/>
                      <a:ext cx="7205345" cy="31750"/>
                    </a:xfrm>
                    <a:prstGeom prst="rect">
                      <a:avLst/>
                    </a:prstGeom>
                    <a:noFill/>
                  </pic:spPr>
                </pic:pic>
              </a:graphicData>
            </a:graphic>
          </wp:anchor>
        </w:drawing>
        <w:t>Table of Contents</w:t>
      </w:r>
    </w:p>
    <w:p>
      <w:pPr>
        <w:spacing w:after="0" w:line="244"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3"/>
          <w:szCs w:val="13"/>
          <w:b w:val="1"/>
          <w:bCs w:val="1"/>
          <w:color w:val="auto"/>
        </w:rPr>
        <w:t>CAUTIONARY NOTE REGARDING FORWARD-LOOKING STATEMENTS</w:t>
      </w:r>
    </w:p>
    <w:p>
      <w:pPr>
        <w:spacing w:after="0" w:line="177" w:lineRule="exact"/>
        <w:rPr>
          <w:sz w:val="20"/>
          <w:szCs w:val="20"/>
          <w:color w:val="auto"/>
        </w:rPr>
      </w:pPr>
    </w:p>
    <w:p>
      <w:pPr>
        <w:jc w:val="both"/>
        <w:ind w:left="1540" w:right="419" w:firstLine="329"/>
        <w:spacing w:after="0" w:line="278" w:lineRule="auto"/>
        <w:rPr>
          <w:sz w:val="20"/>
          <w:szCs w:val="20"/>
          <w:color w:val="auto"/>
        </w:rPr>
      </w:pPr>
      <w:r>
        <w:rPr>
          <w:rFonts w:ascii="Times New Roman" w:cs="Times New Roman" w:eastAsia="Times New Roman" w:hAnsi="Times New Roman"/>
          <w:sz w:val="13"/>
          <w:szCs w:val="13"/>
          <w:color w:val="auto"/>
        </w:rPr>
        <w:t>The information in this prospectus contains or incorporates by reference “forward-looking statements” within the meaning of the federal securities laws, including Section 27A of the Securities Act of 1933, as amended (the “Securities Act”), and the rules and regulations promulgated thereunder and Section 21E of the Securities Exchange Act of 1934, as amended (the “Exchange Act”), and the rules and regulations promulgated thereunder.</w:t>
      </w:r>
    </w:p>
    <w:p>
      <w:pPr>
        <w:spacing w:after="0" w:line="125" w:lineRule="exact"/>
        <w:rPr>
          <w:sz w:val="20"/>
          <w:szCs w:val="20"/>
          <w:color w:val="auto"/>
        </w:rPr>
      </w:pPr>
    </w:p>
    <w:p>
      <w:pPr>
        <w:ind w:left="1540" w:right="399" w:firstLine="329"/>
        <w:spacing w:after="0" w:line="261" w:lineRule="auto"/>
        <w:rPr>
          <w:sz w:val="20"/>
          <w:szCs w:val="20"/>
          <w:color w:val="auto"/>
        </w:rPr>
      </w:pPr>
      <w:r>
        <w:rPr>
          <w:rFonts w:ascii="Times New Roman" w:cs="Times New Roman" w:eastAsia="Times New Roman" w:hAnsi="Times New Roman"/>
          <w:sz w:val="13"/>
          <w:szCs w:val="13"/>
          <w:color w:val="auto"/>
        </w:rPr>
        <w:t>The Company has made these forward-looking statements in reliance on the safe harbor provisions of the United States Private Securities Litigation Reform Act of 1995. Although the Company believes the expectations reflected in the forward-looking statements are reasonable, it cannot guarantee future results, level of activity, performance or achievements. In some cases, you can identify these statements by forward-looking words such as “anticipates,” “believes,” “continue,” “could,” “estimates,” “expects,” “intends,” “may,” “might,” “plans,” “predicts,” “projects,” “scheduled,” “should,” “targets,” “will,” “would,” or the negative of these terms and other similar terminology. Any statements contained herein that are not statements of historical fact may be deemed to be forward-looking statements. Forward-looking statements in this prospectus include statements about the Company’s future financial performance, including its liquidity and capital resources, cost saving initiatives and their impact on annual cash burn rates, cash runway, and its ability to continue as a going concern; the advancement, timing and progress of the Company’s platform development and trait development in crop platforms; the ability to obtain partner funding to support its non-Rice productivity trait portfolio; the anticipated timing for the presentation of data related to trait development and other operational activities; the timeframes for transferring traits in customers’ elite germplasm; the timeframe for commercialization of germplasm with the Company’s traits by seed company customers; the timing for, and degree of, adoption by farmers of germplasm with the Company’s traits following commercialization; the capacity of the Company’s productivity traits to deliver competitive yield improvements; the ability of gene editing to address climate change at scale; the timing and nature of regulatory developments relating to gene editing; the market opportunity for the Company’s plant traits, including the number of addressable acres, and the trait fees that the Company expects to receive; and the Company’s ability to enter into and maintain significant collaborations and commercial relationships. These and other forward-looking statements are predictions and projections about future events and trends based on the Company’s current expectations, objectives, and intentions and are premised on current assumptions.</w:t>
      </w:r>
    </w:p>
    <w:p>
      <w:pPr>
        <w:spacing w:after="0" w:line="301" w:lineRule="exact"/>
        <w:rPr>
          <w:sz w:val="20"/>
          <w:szCs w:val="20"/>
          <w:color w:val="auto"/>
        </w:rPr>
      </w:pPr>
    </w:p>
    <w:p>
      <w:pPr>
        <w:ind w:left="1540" w:right="759" w:firstLine="329"/>
        <w:spacing w:after="0" w:line="297" w:lineRule="auto"/>
        <w:rPr>
          <w:sz w:val="20"/>
          <w:szCs w:val="20"/>
          <w:color w:val="auto"/>
        </w:rPr>
      </w:pPr>
      <w:r>
        <w:rPr>
          <w:rFonts w:ascii="Times New Roman" w:cs="Times New Roman" w:eastAsia="Times New Roman" w:hAnsi="Times New Roman"/>
          <w:sz w:val="13"/>
          <w:szCs w:val="13"/>
          <w:color w:val="auto"/>
        </w:rPr>
        <w:t>The Company’s actual results, level of activity, performance or achievements could be materially different from those expressed, implied, or anticipated by forward-looking statements due to a variety of factors, including, but not limited to:</w:t>
      </w:r>
    </w:p>
    <w:p>
      <w:pPr>
        <w:spacing w:after="0" w:line="43" w:lineRule="exact"/>
        <w:rPr>
          <w:sz w:val="20"/>
          <w:szCs w:val="20"/>
          <w:color w:val="auto"/>
        </w:rPr>
      </w:pPr>
    </w:p>
    <w:p>
      <w:pPr>
        <w:ind w:left="2260" w:right="559" w:hanging="325"/>
        <w:spacing w:after="0" w:line="297" w:lineRule="auto"/>
        <w:tabs>
          <w:tab w:leader="none" w:pos="2260" w:val="left"/>
        </w:tabs>
        <w:numPr>
          <w:ilvl w:val="0"/>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Company’s need for additional near term funding to finance its activities and challenges in obtaining additional capital on acceptable terms, or at all;</w:t>
      </w:r>
    </w:p>
    <w:p>
      <w:pPr>
        <w:spacing w:after="0" w:line="43" w:lineRule="exact"/>
        <w:rPr>
          <w:rFonts w:ascii="Times New Roman" w:cs="Times New Roman" w:eastAsia="Times New Roman" w:hAnsi="Times New Roman"/>
          <w:sz w:val="13"/>
          <w:szCs w:val="13"/>
          <w:color w:val="auto"/>
        </w:rPr>
      </w:pPr>
    </w:p>
    <w:p>
      <w:pPr>
        <w:ind w:left="2260" w:hanging="325"/>
        <w:spacing w:after="0"/>
        <w:tabs>
          <w:tab w:leader="none" w:pos="2260" w:val="left"/>
        </w:tabs>
        <w:numPr>
          <w:ilvl w:val="0"/>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changes in expected or existing competition;</w:t>
      </w:r>
    </w:p>
    <w:p>
      <w:pPr>
        <w:spacing w:after="0" w:line="102" w:lineRule="exact"/>
        <w:rPr>
          <w:rFonts w:ascii="Times New Roman" w:cs="Times New Roman" w:eastAsia="Times New Roman" w:hAnsi="Times New Roman"/>
          <w:sz w:val="13"/>
          <w:szCs w:val="13"/>
          <w:color w:val="auto"/>
        </w:rPr>
      </w:pPr>
    </w:p>
    <w:p>
      <w:pPr>
        <w:ind w:left="2260" w:hanging="325"/>
        <w:spacing w:after="0"/>
        <w:tabs>
          <w:tab w:leader="none" w:pos="2260" w:val="left"/>
        </w:tabs>
        <w:numPr>
          <w:ilvl w:val="0"/>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challenges to the Company’s intellectual property protection and unexpected costs associated with defending intellectual property rights;</w:t>
      </w:r>
    </w:p>
    <w:p>
      <w:pPr>
        <w:spacing w:after="0" w:line="102" w:lineRule="exact"/>
        <w:rPr>
          <w:rFonts w:ascii="Times New Roman" w:cs="Times New Roman" w:eastAsia="Times New Roman" w:hAnsi="Times New Roman"/>
          <w:sz w:val="13"/>
          <w:szCs w:val="13"/>
          <w:color w:val="auto"/>
        </w:rPr>
      </w:pPr>
    </w:p>
    <w:p>
      <w:pPr>
        <w:ind w:left="2260" w:right="659" w:hanging="325"/>
        <w:spacing w:after="0" w:line="297" w:lineRule="auto"/>
        <w:tabs>
          <w:tab w:leader="none" w:pos="2260" w:val="left"/>
        </w:tabs>
        <w:numPr>
          <w:ilvl w:val="0"/>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increased or unanticipated time and resources required for the Company’s development efforts for its priority opportunities in Rice and biofragrance products and sustainable ingredients;</w:t>
      </w:r>
    </w:p>
    <w:p>
      <w:pPr>
        <w:spacing w:after="0" w:line="43" w:lineRule="exact"/>
        <w:rPr>
          <w:rFonts w:ascii="Times New Roman" w:cs="Times New Roman" w:eastAsia="Times New Roman" w:hAnsi="Times New Roman"/>
          <w:sz w:val="13"/>
          <w:szCs w:val="13"/>
          <w:color w:val="auto"/>
        </w:rPr>
      </w:pPr>
    </w:p>
    <w:p>
      <w:pPr>
        <w:ind w:left="2260" w:hanging="325"/>
        <w:spacing w:after="0"/>
        <w:tabs>
          <w:tab w:leader="none" w:pos="2260" w:val="left"/>
        </w:tabs>
        <w:numPr>
          <w:ilvl w:val="0"/>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Company’s reliance on third parties in connection with its development activities and for commercialization;</w:t>
      </w:r>
    </w:p>
    <w:p>
      <w:pPr>
        <w:spacing w:after="0" w:line="102" w:lineRule="exact"/>
        <w:rPr>
          <w:rFonts w:ascii="Times New Roman" w:cs="Times New Roman" w:eastAsia="Times New Roman" w:hAnsi="Times New Roman"/>
          <w:sz w:val="13"/>
          <w:szCs w:val="13"/>
          <w:color w:val="auto"/>
        </w:rPr>
      </w:pPr>
    </w:p>
    <w:p>
      <w:pPr>
        <w:ind w:left="2260" w:hanging="325"/>
        <w:spacing w:after="0"/>
        <w:tabs>
          <w:tab w:leader="none" w:pos="2260" w:val="left"/>
        </w:tabs>
        <w:numPr>
          <w:ilvl w:val="0"/>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challenges associated with the Company’s ability to effectively license its productivity traits and sustainable ingredient products;</w:t>
      </w:r>
    </w:p>
    <w:p>
      <w:pPr>
        <w:spacing w:after="0" w:line="102" w:lineRule="exact"/>
        <w:rPr>
          <w:rFonts w:ascii="Times New Roman" w:cs="Times New Roman" w:eastAsia="Times New Roman" w:hAnsi="Times New Roman"/>
          <w:sz w:val="13"/>
          <w:szCs w:val="13"/>
          <w:color w:val="auto"/>
        </w:rPr>
      </w:pPr>
    </w:p>
    <w:p>
      <w:pPr>
        <w:ind w:left="2260" w:right="539" w:hanging="325"/>
        <w:spacing w:after="0" w:line="297" w:lineRule="auto"/>
        <w:tabs>
          <w:tab w:leader="none" w:pos="2260" w:val="left"/>
        </w:tabs>
        <w:numPr>
          <w:ilvl w:val="0"/>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risk that farmers do not recognize the value in germplasm containing the Company’s traits or that farmers and processors fail to work effectively with crops containing the Company’s traits;</w:t>
      </w:r>
    </w:p>
    <w:p>
      <w:pPr>
        <w:spacing w:after="0" w:line="43" w:lineRule="exact"/>
        <w:rPr>
          <w:rFonts w:ascii="Times New Roman" w:cs="Times New Roman" w:eastAsia="Times New Roman" w:hAnsi="Times New Roman"/>
          <w:sz w:val="13"/>
          <w:szCs w:val="13"/>
          <w:color w:val="auto"/>
        </w:rPr>
      </w:pPr>
    </w:p>
    <w:p>
      <w:pPr>
        <w:ind w:left="2260" w:hanging="325"/>
        <w:spacing w:after="0"/>
        <w:tabs>
          <w:tab w:leader="none" w:pos="2260" w:val="left"/>
        </w:tabs>
        <w:numPr>
          <w:ilvl w:val="0"/>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delays or disruptions in the Company’s platform or trait product development efforts;</w:t>
      </w:r>
    </w:p>
    <w:p>
      <w:pPr>
        <w:spacing w:after="0" w:line="1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7</w:t>
      </w:r>
    </w:p>
    <w:p>
      <w:pPr>
        <w:sectPr>
          <w:pgSz w:w="11900" w:h="16838" w:orient="portrait"/>
          <w:cols w:equalWidth="0" w:num="1">
            <w:col w:w="10159"/>
          </w:cols>
          <w:pgMar w:left="300" w:top="375" w:right="1440"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8">
                      <a:extLst>
                        <a:ext uri="{28A0092B-C50C-407E-A947-70E740481C1C}"/>
                      </a:extLst>
                    </a:blip>
                    <a:srcRect/>
                    <a:stretch>
                      <a:fillRect/>
                    </a:stretch>
                  </pic:blipFill>
                  <pic:spPr bwMode="auto">
                    <a:xfrm>
                      <a:off x="0" y="0"/>
                      <a:ext cx="7205345" cy="31750"/>
                    </a:xfrm>
                    <a:prstGeom prst="rect">
                      <a:avLst/>
                    </a:prstGeom>
                    <a:noFill/>
                  </pic:spPr>
                </pic:pic>
              </a:graphicData>
            </a:graphic>
          </wp:anchor>
        </w:drawing>
        <w:t>Table of Contents</w:t>
      </w:r>
    </w:p>
    <w:p>
      <w:pPr>
        <w:spacing w:after="0" w:line="248" w:lineRule="exact"/>
        <w:rPr>
          <w:sz w:val="20"/>
          <w:szCs w:val="20"/>
          <w:color w:val="auto"/>
        </w:rPr>
      </w:pPr>
    </w:p>
    <w:p>
      <w:pPr>
        <w:ind w:left="2260" w:hanging="325"/>
        <w:spacing w:after="0"/>
        <w:tabs>
          <w:tab w:leader="none" w:pos="2260" w:val="left"/>
        </w:tabs>
        <w:numPr>
          <w:ilvl w:val="0"/>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inability to identify partners to fund the Company’s non-Rice productivity trait portfolio;</w:t>
      </w:r>
    </w:p>
    <w:p>
      <w:pPr>
        <w:spacing w:after="0" w:line="102" w:lineRule="exact"/>
        <w:rPr>
          <w:rFonts w:ascii="Times New Roman" w:cs="Times New Roman" w:eastAsia="Times New Roman" w:hAnsi="Times New Roman"/>
          <w:sz w:val="13"/>
          <w:szCs w:val="13"/>
          <w:color w:val="auto"/>
        </w:rPr>
      </w:pPr>
    </w:p>
    <w:p>
      <w:pPr>
        <w:ind w:left="2260" w:hanging="325"/>
        <w:spacing w:after="0"/>
        <w:tabs>
          <w:tab w:leader="none" w:pos="2260" w:val="left"/>
        </w:tabs>
        <w:numPr>
          <w:ilvl w:val="0"/>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challenges that arise in respect of the Company’s production of high-quality plants and seeds cost effectively on a large scale;</w:t>
      </w:r>
    </w:p>
    <w:p>
      <w:pPr>
        <w:spacing w:after="0" w:line="102" w:lineRule="exact"/>
        <w:rPr>
          <w:rFonts w:ascii="Times New Roman" w:cs="Times New Roman" w:eastAsia="Times New Roman" w:hAnsi="Times New Roman"/>
          <w:sz w:val="13"/>
          <w:szCs w:val="13"/>
          <w:color w:val="auto"/>
        </w:rPr>
      </w:pPr>
    </w:p>
    <w:p>
      <w:pPr>
        <w:ind w:left="2260" w:hanging="325"/>
        <w:spacing w:after="0"/>
        <w:tabs>
          <w:tab w:leader="none" w:pos="2260" w:val="left"/>
        </w:tabs>
        <w:numPr>
          <w:ilvl w:val="0"/>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Company’s dependence on distributions from Cibus Global to pay taxes and cover its corporate and overhead expenses;</w:t>
      </w:r>
    </w:p>
    <w:p>
      <w:pPr>
        <w:spacing w:after="0" w:line="102" w:lineRule="exact"/>
        <w:rPr>
          <w:rFonts w:ascii="Times New Roman" w:cs="Times New Roman" w:eastAsia="Times New Roman" w:hAnsi="Times New Roman"/>
          <w:sz w:val="13"/>
          <w:szCs w:val="13"/>
          <w:color w:val="auto"/>
        </w:rPr>
      </w:pPr>
    </w:p>
    <w:p>
      <w:pPr>
        <w:ind w:left="2260" w:hanging="325"/>
        <w:spacing w:after="0"/>
        <w:tabs>
          <w:tab w:leader="none" w:pos="2260" w:val="left"/>
        </w:tabs>
        <w:numPr>
          <w:ilvl w:val="0"/>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regulatory developments that disfavor or impose significant burdens on gene editing processes or products;</w:t>
      </w:r>
    </w:p>
    <w:p>
      <w:pPr>
        <w:spacing w:after="0" w:line="102" w:lineRule="exact"/>
        <w:rPr>
          <w:rFonts w:ascii="Times New Roman" w:cs="Times New Roman" w:eastAsia="Times New Roman" w:hAnsi="Times New Roman"/>
          <w:sz w:val="13"/>
          <w:szCs w:val="13"/>
          <w:color w:val="auto"/>
        </w:rPr>
      </w:pPr>
    </w:p>
    <w:p>
      <w:pPr>
        <w:ind w:left="2260" w:hanging="325"/>
        <w:spacing w:after="0"/>
        <w:tabs>
          <w:tab w:leader="none" w:pos="2260" w:val="left"/>
        </w:tabs>
        <w:numPr>
          <w:ilvl w:val="0"/>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delays and uncertainties regarding regulatory developments in the European Union;</w:t>
      </w:r>
    </w:p>
    <w:p>
      <w:pPr>
        <w:spacing w:after="0" w:line="102" w:lineRule="exact"/>
        <w:rPr>
          <w:rFonts w:ascii="Times New Roman" w:cs="Times New Roman" w:eastAsia="Times New Roman" w:hAnsi="Times New Roman"/>
          <w:sz w:val="13"/>
          <w:szCs w:val="13"/>
          <w:color w:val="auto"/>
        </w:rPr>
      </w:pPr>
    </w:p>
    <w:p>
      <w:pPr>
        <w:ind w:left="2260" w:hanging="325"/>
        <w:spacing w:after="0"/>
        <w:tabs>
          <w:tab w:leader="none" w:pos="2260" w:val="left"/>
        </w:tabs>
        <w:numPr>
          <w:ilvl w:val="0"/>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Company’s ability to achieve commercial success;</w:t>
      </w:r>
    </w:p>
    <w:p>
      <w:pPr>
        <w:spacing w:after="0" w:line="102" w:lineRule="exact"/>
        <w:rPr>
          <w:rFonts w:ascii="Times New Roman" w:cs="Times New Roman" w:eastAsia="Times New Roman" w:hAnsi="Times New Roman"/>
          <w:sz w:val="13"/>
          <w:szCs w:val="13"/>
          <w:color w:val="auto"/>
        </w:rPr>
      </w:pPr>
    </w:p>
    <w:p>
      <w:pPr>
        <w:ind w:left="2260" w:hanging="325"/>
        <w:spacing w:after="0"/>
        <w:tabs>
          <w:tab w:leader="none" w:pos="2260" w:val="left"/>
        </w:tabs>
        <w:numPr>
          <w:ilvl w:val="0"/>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commodity prices and other market risks facing the agricultural sector;</w:t>
      </w:r>
    </w:p>
    <w:p>
      <w:pPr>
        <w:spacing w:after="0" w:line="102" w:lineRule="exact"/>
        <w:rPr>
          <w:rFonts w:ascii="Times New Roman" w:cs="Times New Roman" w:eastAsia="Times New Roman" w:hAnsi="Times New Roman"/>
          <w:sz w:val="13"/>
          <w:szCs w:val="13"/>
          <w:color w:val="auto"/>
        </w:rPr>
      </w:pPr>
    </w:p>
    <w:p>
      <w:pPr>
        <w:ind w:left="2260" w:hanging="325"/>
        <w:spacing w:after="0"/>
        <w:tabs>
          <w:tab w:leader="none" w:pos="2260" w:val="left"/>
        </w:tabs>
        <w:numPr>
          <w:ilvl w:val="0"/>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technological developments that could render the Company’s technologies obsolete;</w:t>
      </w:r>
    </w:p>
    <w:p>
      <w:pPr>
        <w:spacing w:after="0" w:line="102" w:lineRule="exact"/>
        <w:rPr>
          <w:rFonts w:ascii="Times New Roman" w:cs="Times New Roman" w:eastAsia="Times New Roman" w:hAnsi="Times New Roman"/>
          <w:sz w:val="13"/>
          <w:szCs w:val="13"/>
          <w:color w:val="auto"/>
        </w:rPr>
      </w:pPr>
    </w:p>
    <w:p>
      <w:pPr>
        <w:ind w:left="2260" w:right="1019" w:hanging="325"/>
        <w:spacing w:after="0" w:line="297" w:lineRule="auto"/>
        <w:tabs>
          <w:tab w:leader="none" w:pos="2260" w:val="left"/>
        </w:tabs>
        <w:numPr>
          <w:ilvl w:val="0"/>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impacts of the Company’s headcount reductions and other cost reduction measures, which may include operational and strategic challenges, and the potential for additional cost reduction measures;</w:t>
      </w:r>
    </w:p>
    <w:p>
      <w:pPr>
        <w:spacing w:after="0" w:line="43" w:lineRule="exact"/>
        <w:rPr>
          <w:rFonts w:ascii="Times New Roman" w:cs="Times New Roman" w:eastAsia="Times New Roman" w:hAnsi="Times New Roman"/>
          <w:sz w:val="13"/>
          <w:szCs w:val="13"/>
          <w:color w:val="auto"/>
        </w:rPr>
      </w:pPr>
    </w:p>
    <w:p>
      <w:pPr>
        <w:ind w:left="2260" w:right="419" w:hanging="325"/>
        <w:spacing w:after="0" w:line="297" w:lineRule="auto"/>
        <w:tabs>
          <w:tab w:leader="none" w:pos="2260" w:val="left"/>
        </w:tabs>
        <w:numPr>
          <w:ilvl w:val="0"/>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changes in macroeconomic and market conditions, including inflation, supply chain constraints, and rising interest rates, and economic volatility and uncertainty arising from dynamic trade policies, including tariffs and retaliatory tariffs, and market reactions to such policies;</w:t>
      </w:r>
    </w:p>
    <w:p>
      <w:pPr>
        <w:spacing w:after="0" w:line="43" w:lineRule="exact"/>
        <w:rPr>
          <w:rFonts w:ascii="Times New Roman" w:cs="Times New Roman" w:eastAsia="Times New Roman" w:hAnsi="Times New Roman"/>
          <w:sz w:val="13"/>
          <w:szCs w:val="13"/>
          <w:color w:val="auto"/>
        </w:rPr>
      </w:pPr>
    </w:p>
    <w:p>
      <w:pPr>
        <w:ind w:left="2260" w:right="719" w:hanging="325"/>
        <w:spacing w:after="0" w:line="297" w:lineRule="auto"/>
        <w:tabs>
          <w:tab w:leader="none" w:pos="2260" w:val="left"/>
        </w:tabs>
        <w:numPr>
          <w:ilvl w:val="0"/>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dislocations in the capital markets and challenges in accessing liquidity and the impact of such liquidity challenges on the Company’s ability to execute on its business plan;</w:t>
      </w:r>
    </w:p>
    <w:p>
      <w:pPr>
        <w:spacing w:after="0" w:line="43" w:lineRule="exact"/>
        <w:rPr>
          <w:rFonts w:ascii="Times New Roman" w:cs="Times New Roman" w:eastAsia="Times New Roman" w:hAnsi="Times New Roman"/>
          <w:sz w:val="13"/>
          <w:szCs w:val="13"/>
          <w:color w:val="auto"/>
        </w:rPr>
      </w:pPr>
    </w:p>
    <w:p>
      <w:pPr>
        <w:ind w:left="2260" w:hanging="325"/>
        <w:spacing w:after="0"/>
        <w:tabs>
          <w:tab w:leader="none" w:pos="2260" w:val="left"/>
        </w:tabs>
        <w:numPr>
          <w:ilvl w:val="0"/>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Company’s assessment of the period of time through which its financial resources will be adequate to support operations; and</w:t>
      </w:r>
    </w:p>
    <w:p>
      <w:pPr>
        <w:spacing w:after="0" w:line="102" w:lineRule="exact"/>
        <w:rPr>
          <w:rFonts w:ascii="Times New Roman" w:cs="Times New Roman" w:eastAsia="Times New Roman" w:hAnsi="Times New Roman"/>
          <w:sz w:val="13"/>
          <w:szCs w:val="13"/>
          <w:color w:val="auto"/>
        </w:rPr>
      </w:pPr>
    </w:p>
    <w:p>
      <w:pPr>
        <w:ind w:left="2260" w:right="419" w:hanging="325"/>
        <w:spacing w:after="0" w:line="278" w:lineRule="auto"/>
        <w:tabs>
          <w:tab w:leader="none" w:pos="2260" w:val="left"/>
        </w:tabs>
        <w:numPr>
          <w:ilvl w:val="0"/>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other important risks and uncertainties described in “Item 1A. Risk Factors” in the Company’s Annual Report on Form 10-K, which was filed with the SEC on March 17, 2026, as they may be updated or supplemented from time-to-time in the Company’s subsequent reports on Forms 10-Q and 8-K filed with the SEC.</w:t>
      </w:r>
    </w:p>
    <w:p>
      <w:pPr>
        <w:spacing w:after="0" w:line="125" w:lineRule="exact"/>
        <w:rPr>
          <w:sz w:val="20"/>
          <w:szCs w:val="20"/>
          <w:color w:val="auto"/>
        </w:rPr>
      </w:pPr>
    </w:p>
    <w:p>
      <w:pPr>
        <w:ind w:left="1540" w:right="479" w:firstLine="329"/>
        <w:spacing w:after="0" w:line="266" w:lineRule="auto"/>
        <w:rPr>
          <w:sz w:val="20"/>
          <w:szCs w:val="20"/>
          <w:color w:val="auto"/>
        </w:rPr>
      </w:pPr>
      <w:r>
        <w:rPr>
          <w:rFonts w:ascii="Times New Roman" w:cs="Times New Roman" w:eastAsia="Times New Roman" w:hAnsi="Times New Roman"/>
          <w:sz w:val="13"/>
          <w:szCs w:val="13"/>
          <w:color w:val="auto"/>
        </w:rPr>
        <w:t>While the list of factors presented here is considered representative, no such list should be considered to be a complete statement of all potential risks and uncertainties. Unlisted factors may present significant additional obstacles to the realization of forward-looking statements. Consequences of material differences in results as compared with those anticipated in the forward-looking statements could include, among other things, business disruption, operational problems, financial loss, legal liability to third parties and similar risks, any of which could have a material adverse effect on the Company’s consolidated financial condition, results of operations or liquidity. Therefore, you should not place undue reliance on any of these forward-looking statements.</w:t>
      </w:r>
    </w:p>
    <w:p>
      <w:pPr>
        <w:spacing w:after="0" w:line="135" w:lineRule="exact"/>
        <w:rPr>
          <w:sz w:val="20"/>
          <w:szCs w:val="20"/>
          <w:color w:val="auto"/>
        </w:rPr>
      </w:pPr>
    </w:p>
    <w:p>
      <w:pPr>
        <w:ind w:left="1540" w:right="659" w:firstLine="329"/>
        <w:spacing w:after="0" w:line="271" w:lineRule="auto"/>
        <w:rPr>
          <w:sz w:val="20"/>
          <w:szCs w:val="20"/>
          <w:color w:val="auto"/>
        </w:rPr>
      </w:pPr>
      <w:r>
        <w:rPr>
          <w:rFonts w:ascii="Times New Roman" w:cs="Times New Roman" w:eastAsia="Times New Roman" w:hAnsi="Times New Roman"/>
          <w:sz w:val="13"/>
          <w:szCs w:val="13"/>
          <w:color w:val="auto"/>
        </w:rPr>
        <w:t>Any forward-looking statement made by the Company in this prospectus is based only on information currently available to the Company and speaks only as of the date hereof. The Company does not assume any obligation to publicly provide revisions or updates to any forward-looking statements after the date of this prospectus, whether as a result of new information, future developments or otherwise, should circumstances change, except as otherwise required by securities and other applicable laws.</w:t>
      </w:r>
    </w:p>
    <w:p>
      <w:pPr>
        <w:spacing w:after="0" w:line="131" w:lineRule="exact"/>
        <w:rPr>
          <w:sz w:val="20"/>
          <w:szCs w:val="20"/>
          <w:color w:val="auto"/>
        </w:rPr>
      </w:pPr>
    </w:p>
    <w:p>
      <w:pPr>
        <w:ind w:left="1540" w:right="439" w:firstLine="329"/>
        <w:spacing w:after="0" w:line="271" w:lineRule="auto"/>
        <w:rPr>
          <w:sz w:val="20"/>
          <w:szCs w:val="20"/>
          <w:color w:val="auto"/>
        </w:rPr>
      </w:pPr>
      <w:r>
        <w:rPr>
          <w:rFonts w:ascii="Times New Roman" w:cs="Times New Roman" w:eastAsia="Times New Roman" w:hAnsi="Times New Roman"/>
          <w:sz w:val="13"/>
          <w:szCs w:val="13"/>
          <w:color w:val="auto"/>
        </w:rPr>
        <w:t>You should read this prospectus together with the documents Cibus has filed with the SEC that are incorporated by reference and any free writing prospectus that Cibus may authorize for use in connection with this offering completely and with the understanding that Cibus’ actual future results may be materially different from what Cibus currently expects. Cibus qualifies all of the forward-looking statements in the foregoing documents by these cautionary statements.</w:t>
      </w:r>
    </w:p>
    <w:p>
      <w:pPr>
        <w:spacing w:after="0" w:line="8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8</w:t>
      </w:r>
    </w:p>
    <w:p>
      <w:pPr>
        <w:sectPr>
          <w:pgSz w:w="11900" w:h="16838" w:orient="portrait"/>
          <w:cols w:equalWidth="0" w:num="1">
            <w:col w:w="10159"/>
          </w:cols>
          <w:pgMar w:left="300" w:top="375" w:right="1440"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9">
                      <a:extLst>
                        <a:ext uri="{28A0092B-C50C-407E-A947-70E740481C1C}"/>
                      </a:extLst>
                    </a:blip>
                    <a:srcRect/>
                    <a:stretch>
                      <a:fillRect/>
                    </a:stretch>
                  </pic:blipFill>
                  <pic:spPr bwMode="auto">
                    <a:xfrm>
                      <a:off x="0" y="0"/>
                      <a:ext cx="7205345" cy="31750"/>
                    </a:xfrm>
                    <a:prstGeom prst="rect">
                      <a:avLst/>
                    </a:prstGeom>
                    <a:noFill/>
                  </pic:spPr>
                </pic:pic>
              </a:graphicData>
            </a:graphic>
          </wp:anchor>
        </w:drawing>
        <w:t>Table of Contents</w:t>
      </w:r>
    </w:p>
    <w:p>
      <w:pPr>
        <w:spacing w:after="0" w:line="24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USE OF PROCEEDS</w:t>
      </w:r>
    </w:p>
    <w:p>
      <w:pPr>
        <w:spacing w:after="0" w:line="177" w:lineRule="exact"/>
        <w:rPr>
          <w:sz w:val="20"/>
          <w:szCs w:val="20"/>
          <w:color w:val="auto"/>
        </w:rPr>
      </w:pPr>
    </w:p>
    <w:p>
      <w:pPr>
        <w:ind w:left="1540" w:right="499" w:firstLine="329"/>
        <w:spacing w:after="0" w:line="278" w:lineRule="auto"/>
        <w:rPr>
          <w:sz w:val="20"/>
          <w:szCs w:val="20"/>
          <w:color w:val="auto"/>
        </w:rPr>
      </w:pPr>
      <w:r>
        <w:rPr>
          <w:rFonts w:ascii="Times New Roman" w:cs="Times New Roman" w:eastAsia="Times New Roman" w:hAnsi="Times New Roman"/>
          <w:sz w:val="13"/>
          <w:szCs w:val="13"/>
          <w:color w:val="auto"/>
        </w:rPr>
        <w:t>If the Warrants are exercised in full, Cibus will receive proceeds of approximately $26.6 million. However, the Company does not know when, if or the extent to which such Warrants may be exercised, and it is possible that no Warrants may be exercised, in which case the Company would not receive any proceeds from this offering.</w:t>
      </w:r>
    </w:p>
    <w:p>
      <w:pPr>
        <w:spacing w:after="0" w:line="125" w:lineRule="exact"/>
        <w:rPr>
          <w:sz w:val="20"/>
          <w:szCs w:val="20"/>
          <w:color w:val="auto"/>
        </w:rPr>
      </w:pPr>
    </w:p>
    <w:p>
      <w:pPr>
        <w:ind w:left="1540" w:right="479" w:firstLine="329"/>
        <w:spacing w:after="0" w:line="297" w:lineRule="auto"/>
        <w:rPr>
          <w:sz w:val="20"/>
          <w:szCs w:val="20"/>
          <w:color w:val="auto"/>
        </w:rPr>
      </w:pPr>
      <w:r>
        <w:rPr>
          <w:rFonts w:ascii="Times New Roman" w:cs="Times New Roman" w:eastAsia="Times New Roman" w:hAnsi="Times New Roman"/>
          <w:sz w:val="13"/>
          <w:szCs w:val="13"/>
          <w:color w:val="auto"/>
        </w:rPr>
        <w:t>Cibus currently intends to use the net proceeds from the exercise of the Warrants for working capital and general corporate purposes, including to fund further development of its weed management traits in Rice and facilities-related costs and expenses.</w:t>
      </w:r>
    </w:p>
    <w:p>
      <w:pPr>
        <w:spacing w:after="0" w:line="114" w:lineRule="exact"/>
        <w:rPr>
          <w:sz w:val="20"/>
          <w:szCs w:val="20"/>
          <w:color w:val="auto"/>
        </w:rPr>
      </w:pPr>
    </w:p>
    <w:p>
      <w:pPr>
        <w:ind w:left="1540" w:right="479" w:firstLine="329"/>
        <w:spacing w:after="0" w:line="297" w:lineRule="auto"/>
        <w:rPr>
          <w:sz w:val="20"/>
          <w:szCs w:val="20"/>
          <w:color w:val="auto"/>
        </w:rPr>
      </w:pPr>
      <w:r>
        <w:rPr>
          <w:rFonts w:ascii="Times New Roman" w:cs="Times New Roman" w:eastAsia="Times New Roman" w:hAnsi="Times New Roman"/>
          <w:sz w:val="13"/>
          <w:szCs w:val="13"/>
          <w:color w:val="auto"/>
        </w:rPr>
        <w:t>Cibus may find it necessary or advisable to use the net proceeds for other purposes and Cibus’ management retains broad discretion regarding the use of the net proceeds from this offering, including discretion over the amounts and timing of any actual expenditures.</w:t>
      </w:r>
    </w:p>
    <w:p>
      <w:pPr>
        <w:spacing w:after="0" w:line="114" w:lineRule="exact"/>
        <w:rPr>
          <w:sz w:val="20"/>
          <w:szCs w:val="20"/>
          <w:color w:val="auto"/>
        </w:rPr>
      </w:pPr>
    </w:p>
    <w:p>
      <w:pPr>
        <w:ind w:left="1540" w:right="499" w:firstLine="329"/>
        <w:spacing w:after="0" w:line="278" w:lineRule="auto"/>
        <w:rPr>
          <w:sz w:val="20"/>
          <w:szCs w:val="20"/>
          <w:color w:val="auto"/>
        </w:rPr>
      </w:pPr>
      <w:r>
        <w:rPr>
          <w:rFonts w:ascii="Times New Roman" w:cs="Times New Roman" w:eastAsia="Times New Roman" w:hAnsi="Times New Roman"/>
          <w:sz w:val="13"/>
          <w:szCs w:val="13"/>
          <w:color w:val="auto"/>
        </w:rPr>
        <w:t>Pending Cibus’ use of the net proceeds from the exercise of the Warrants, Cibus intends to invest the net proceeds in marketable securities that may include investment-grade interest-bearing securities, money market accounts, certificates of deposit, commercial paper and guaranteed obligations of the U.S. government in accordance with Cibus’ investment policy.</w:t>
      </w:r>
    </w:p>
    <w:p>
      <w:pPr>
        <w:spacing w:after="0" w:line="7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9</w:t>
      </w:r>
    </w:p>
    <w:p>
      <w:pPr>
        <w:sectPr>
          <w:pgSz w:w="11900" w:h="16838" w:orient="portrait"/>
          <w:cols w:equalWidth="0" w:num="1">
            <w:col w:w="10159"/>
          </w:cols>
          <w:pgMar w:left="300" w:top="375" w:right="1440"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0">
                      <a:extLst>
                        <a:ext uri="{28A0092B-C50C-407E-A947-70E740481C1C}"/>
                      </a:extLst>
                    </a:blip>
                    <a:srcRect/>
                    <a:stretch>
                      <a:fillRect/>
                    </a:stretch>
                  </pic:blipFill>
                  <pic:spPr bwMode="auto">
                    <a:xfrm>
                      <a:off x="0" y="0"/>
                      <a:ext cx="7205345" cy="31750"/>
                    </a:xfrm>
                    <a:prstGeom prst="rect">
                      <a:avLst/>
                    </a:prstGeom>
                    <a:noFill/>
                  </pic:spPr>
                </pic:pic>
              </a:graphicData>
            </a:graphic>
          </wp:anchor>
        </w:drawing>
        <w:t>Table of Contents</w:t>
      </w:r>
    </w:p>
    <w:p>
      <w:pPr>
        <w:spacing w:after="0" w:line="24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DESCRIPTION OF CAPITAL STOCK</w:t>
      </w:r>
    </w:p>
    <w:p>
      <w:pPr>
        <w:spacing w:after="0" w:line="177" w:lineRule="exact"/>
        <w:rPr>
          <w:sz w:val="20"/>
          <w:szCs w:val="20"/>
          <w:color w:val="auto"/>
        </w:rPr>
      </w:pPr>
    </w:p>
    <w:p>
      <w:pPr>
        <w:ind w:left="1540" w:right="619" w:firstLine="329"/>
        <w:spacing w:after="0" w:line="271" w:lineRule="auto"/>
        <w:rPr>
          <w:sz w:val="20"/>
          <w:szCs w:val="20"/>
          <w:color w:val="auto"/>
        </w:rPr>
      </w:pPr>
      <w:r>
        <w:rPr>
          <w:rFonts w:ascii="Times New Roman" w:cs="Times New Roman" w:eastAsia="Times New Roman" w:hAnsi="Times New Roman"/>
          <w:sz w:val="13"/>
          <w:szCs w:val="13"/>
          <w:color w:val="auto"/>
        </w:rPr>
        <w:t>The following summary of certain material provisions of the Company’s capital stock does not purport to be complete and is subject to and qualified by reference to the Company’s second amended and restated certificate of incorporation (the Company’s “Amended and Restated Charter”) and the Company’s amended and restated bylaws (the Company’s “Amended Bylaws”). The summary below is also qualified by reference to the provisions of the Delaware General Corporation Law (the “DGCL”).</w:t>
      </w:r>
    </w:p>
    <w:p>
      <w:pPr>
        <w:spacing w:after="0" w:line="208"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3"/>
          <w:szCs w:val="13"/>
          <w:b w:val="1"/>
          <w:bCs w:val="1"/>
          <w:color w:val="auto"/>
        </w:rPr>
        <w:t>General</w:t>
      </w:r>
    </w:p>
    <w:p>
      <w:pPr>
        <w:spacing w:after="0" w:line="96" w:lineRule="exact"/>
        <w:rPr>
          <w:sz w:val="20"/>
          <w:szCs w:val="20"/>
          <w:color w:val="auto"/>
        </w:rPr>
      </w:pPr>
    </w:p>
    <w:p>
      <w:pPr>
        <w:ind w:left="1540" w:right="579" w:firstLine="329"/>
        <w:spacing w:after="0" w:line="268" w:lineRule="auto"/>
        <w:rPr>
          <w:sz w:val="20"/>
          <w:szCs w:val="20"/>
          <w:color w:val="auto"/>
        </w:rPr>
      </w:pPr>
      <w:r>
        <w:rPr>
          <w:rFonts w:ascii="Times New Roman" w:cs="Times New Roman" w:eastAsia="Times New Roman" w:hAnsi="Times New Roman"/>
          <w:sz w:val="13"/>
          <w:szCs w:val="13"/>
          <w:color w:val="auto"/>
        </w:rPr>
        <w:t>The Company’s total number of authorized shares of capital stock consists of (i) 210,000,000 shares of Class A Common Stock, (ii) 90,000,000 shares of Class B common stock, par value $0.0001 per share (“Class B Common Stock”), and (iii) 10,000,000 shares of preferred stock, par value of $0.0001 per share (“Preferred Stock”). As of May 8, 2026, the Company had outstanding 76,331,634 shares of Class A Common Stock (excluding 52,045 restricted shares of Class A Common Stock, which are outstanding, but remain subject to vesting) and no shares of Class B Common Stock or Preferred Stock.</w:t>
      </w:r>
    </w:p>
    <w:p>
      <w:pPr>
        <w:spacing w:after="0" w:line="20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3"/>
          <w:szCs w:val="13"/>
          <w:b w:val="1"/>
          <w:bCs w:val="1"/>
          <w:color w:val="auto"/>
        </w:rPr>
        <w:t>Class A Common Stock</w:t>
      </w:r>
    </w:p>
    <w:p>
      <w:pPr>
        <w:spacing w:after="0" w:line="94" w:lineRule="exact"/>
        <w:rPr>
          <w:sz w:val="20"/>
          <w:szCs w:val="20"/>
          <w:color w:val="auto"/>
        </w:rPr>
      </w:pPr>
    </w:p>
    <w:p>
      <w:pPr>
        <w:ind w:left="1540" w:right="579" w:firstLine="329"/>
        <w:spacing w:after="0" w:line="267" w:lineRule="auto"/>
        <w:rPr>
          <w:sz w:val="20"/>
          <w:szCs w:val="20"/>
          <w:color w:val="auto"/>
        </w:rPr>
      </w:pPr>
      <w:r>
        <w:rPr>
          <w:rFonts w:ascii="Times New Roman" w:cs="Times New Roman" w:eastAsia="Times New Roman" w:hAnsi="Times New Roman"/>
          <w:sz w:val="13"/>
          <w:szCs w:val="13"/>
          <w:i w:val="1"/>
          <w:iCs w:val="1"/>
          <w:color w:val="auto"/>
        </w:rPr>
        <w:t>Voting Rights</w:t>
      </w:r>
      <w:r>
        <w:rPr>
          <w:rFonts w:ascii="Times New Roman" w:cs="Times New Roman" w:eastAsia="Times New Roman" w:hAnsi="Times New Roman"/>
          <w:sz w:val="13"/>
          <w:szCs w:val="13"/>
          <w:color w:val="auto"/>
        </w:rPr>
        <w:t>. Holders of shares of Class A Common Stock are entitled to one vote for each share held of record on all matters on which</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stockholders are entitled to vote generally, except that holders of shares of Class A Common Stock have no voting power with respect to, and are not entitled to vote on, any amendment to the Amended and Restated Charter (including any certificate of designations relating to any series of Preferred Stock) that relates solely to the terms of any outstanding Preferred Stock if the holders of such Preferred Stock are entitled to vote as a separate class thereon under the Amended and Restated Charter or under the DGCL. The holders of Class A Common Stock do not have cumulative voting rights in the election of directors.</w:t>
      </w:r>
    </w:p>
    <w:p>
      <w:pPr>
        <w:spacing w:after="0" w:line="133" w:lineRule="exact"/>
        <w:rPr>
          <w:sz w:val="20"/>
          <w:szCs w:val="20"/>
          <w:color w:val="auto"/>
        </w:rPr>
      </w:pPr>
    </w:p>
    <w:p>
      <w:pPr>
        <w:ind w:left="1540" w:right="559" w:firstLine="329"/>
        <w:spacing w:after="0" w:line="278" w:lineRule="auto"/>
        <w:rPr>
          <w:sz w:val="20"/>
          <w:szCs w:val="20"/>
          <w:color w:val="auto"/>
        </w:rPr>
      </w:pPr>
      <w:r>
        <w:rPr>
          <w:rFonts w:ascii="Times New Roman" w:cs="Times New Roman" w:eastAsia="Times New Roman" w:hAnsi="Times New Roman"/>
          <w:sz w:val="13"/>
          <w:szCs w:val="13"/>
          <w:color w:val="auto"/>
        </w:rPr>
        <w:t>Holders of outstanding shares of Class A Common Stock are entitled to vote separately upon any amendment to the Amended and Restated Charter (including by merger, consolidation, conversion, reorganization or similar event) that would alter or change the powers, preferences or special rights of Class A Common Stock in a manner that is materially and disproportionately adverse as compared to the Class B Common Stock.</w:t>
      </w:r>
    </w:p>
    <w:p>
      <w:pPr>
        <w:spacing w:after="0" w:line="123" w:lineRule="exact"/>
        <w:rPr>
          <w:sz w:val="20"/>
          <w:szCs w:val="20"/>
          <w:color w:val="auto"/>
        </w:rPr>
      </w:pPr>
    </w:p>
    <w:p>
      <w:pPr>
        <w:ind w:left="1540" w:right="519" w:firstLine="329"/>
        <w:spacing w:after="0" w:line="279" w:lineRule="auto"/>
        <w:rPr>
          <w:sz w:val="20"/>
          <w:szCs w:val="20"/>
          <w:color w:val="auto"/>
        </w:rPr>
      </w:pPr>
      <w:r>
        <w:rPr>
          <w:rFonts w:ascii="Times New Roman" w:cs="Times New Roman" w:eastAsia="Times New Roman" w:hAnsi="Times New Roman"/>
          <w:sz w:val="13"/>
          <w:szCs w:val="13"/>
          <w:i w:val="1"/>
          <w:iCs w:val="1"/>
          <w:color w:val="auto"/>
        </w:rPr>
        <w:t>Dividend Rights</w:t>
      </w:r>
      <w:r>
        <w:rPr>
          <w:rFonts w:ascii="Times New Roman" w:cs="Times New Roman" w:eastAsia="Times New Roman" w:hAnsi="Times New Roman"/>
          <w:sz w:val="13"/>
          <w:szCs w:val="13"/>
          <w:color w:val="auto"/>
        </w:rPr>
        <w:t>. Holders of shares of Class A Common Stock are entitled to receive dividends when, as and if declared by the Company’s board</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of directors (the Company’s “Board”) out of funds legally available therefor, subject to any statutory or contractual restrictions on the payment of dividends and to any restrictions on the payment of dividends imposed by the terms of any outstanding Preferred Stock.</w:t>
      </w:r>
    </w:p>
    <w:p>
      <w:pPr>
        <w:spacing w:after="0" w:line="124" w:lineRule="exact"/>
        <w:rPr>
          <w:sz w:val="20"/>
          <w:szCs w:val="20"/>
          <w:color w:val="auto"/>
        </w:rPr>
      </w:pPr>
    </w:p>
    <w:p>
      <w:pPr>
        <w:jc w:val="both"/>
        <w:ind w:left="1540" w:right="499" w:firstLine="329"/>
        <w:spacing w:after="0" w:line="279" w:lineRule="auto"/>
        <w:rPr>
          <w:sz w:val="20"/>
          <w:szCs w:val="20"/>
          <w:color w:val="auto"/>
        </w:rPr>
      </w:pPr>
      <w:r>
        <w:rPr>
          <w:rFonts w:ascii="Times New Roman" w:cs="Times New Roman" w:eastAsia="Times New Roman" w:hAnsi="Times New Roman"/>
          <w:sz w:val="13"/>
          <w:szCs w:val="13"/>
          <w:i w:val="1"/>
          <w:iCs w:val="1"/>
          <w:color w:val="auto"/>
        </w:rPr>
        <w:t>Liquidation Rights</w:t>
      </w:r>
      <w:r>
        <w:rPr>
          <w:rFonts w:ascii="Times New Roman" w:cs="Times New Roman" w:eastAsia="Times New Roman" w:hAnsi="Times New Roman"/>
          <w:sz w:val="13"/>
          <w:szCs w:val="13"/>
          <w:color w:val="auto"/>
        </w:rPr>
        <w:t>. Upon its liquidation, dissolution or winding up and after payment in full of all amounts required to be paid to creditors and to</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the holders of Preferred Stock having liquidation preferences, if any, the holders of shares of Class A Common Stock will be entitled to receive pro rata the remaining assets available for distribution.</w:t>
      </w:r>
    </w:p>
    <w:p>
      <w:pPr>
        <w:spacing w:after="0" w:line="126" w:lineRule="exact"/>
        <w:rPr>
          <w:sz w:val="20"/>
          <w:szCs w:val="20"/>
          <w:color w:val="auto"/>
        </w:rPr>
      </w:pPr>
    </w:p>
    <w:p>
      <w:pPr>
        <w:ind w:left="1540" w:right="419" w:firstLine="329"/>
        <w:spacing w:after="0" w:line="268" w:lineRule="auto"/>
        <w:rPr>
          <w:sz w:val="20"/>
          <w:szCs w:val="20"/>
          <w:color w:val="auto"/>
        </w:rPr>
      </w:pPr>
      <w:r>
        <w:rPr>
          <w:rFonts w:ascii="Times New Roman" w:cs="Times New Roman" w:eastAsia="Times New Roman" w:hAnsi="Times New Roman"/>
          <w:sz w:val="13"/>
          <w:szCs w:val="13"/>
          <w:color w:val="auto"/>
        </w:rPr>
        <w:t>All outstanding shares of Class A Common Stock are fully paid and non-assessable. The Class A Common Stock is not subject to further calls or assessments by us. Holders of shares of Class A Common Stock do not have preemptive, subscription or redemption rights. There is no redemption or sinking fund provisions applicable to the Class A Common Stock. The rights, powers, preferences and privileges of Class A Common Stock are subject to those of the holders of any shares of Class B Common Stock and Preferred Stock or any other series or class of stock the Company may authorize and issue in the future.</w:t>
      </w:r>
    </w:p>
    <w:p>
      <w:pPr>
        <w:spacing w:after="0" w:line="20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3"/>
          <w:szCs w:val="13"/>
          <w:b w:val="1"/>
          <w:bCs w:val="1"/>
          <w:color w:val="auto"/>
        </w:rPr>
        <w:t>Class B Common Stock</w:t>
      </w:r>
    </w:p>
    <w:p>
      <w:pPr>
        <w:spacing w:after="0" w:line="96"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3"/>
          <w:szCs w:val="13"/>
          <w:color w:val="auto"/>
        </w:rPr>
        <w:t>No shares of Class B Common Stock are issued or outstanding.</w:t>
      </w:r>
    </w:p>
    <w:p>
      <w:pPr>
        <w:spacing w:after="0" w:line="12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10</w:t>
      </w:r>
    </w:p>
    <w:p>
      <w:pPr>
        <w:sectPr>
          <w:pgSz w:w="11900" w:h="16838" w:orient="portrait"/>
          <w:cols w:equalWidth="0" w:num="1">
            <w:col w:w="10159"/>
          </w:cols>
          <w:pgMar w:left="300" w:top="375" w:right="1440"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1">
                      <a:extLst>
                        <a:ext uri="{28A0092B-C50C-407E-A947-70E740481C1C}"/>
                      </a:extLst>
                    </a:blip>
                    <a:srcRect/>
                    <a:stretch>
                      <a:fillRect/>
                    </a:stretch>
                  </pic:blipFill>
                  <pic:spPr bwMode="auto">
                    <a:xfrm>
                      <a:off x="0" y="0"/>
                      <a:ext cx="7205345" cy="31750"/>
                    </a:xfrm>
                    <a:prstGeom prst="rect">
                      <a:avLst/>
                    </a:prstGeom>
                    <a:noFill/>
                  </pic:spPr>
                </pic:pic>
              </a:graphicData>
            </a:graphic>
          </wp:anchor>
        </w:drawing>
        <w:t>Table of Contents</w:t>
      </w:r>
    </w:p>
    <w:p>
      <w:pPr>
        <w:spacing w:after="0" w:line="246" w:lineRule="exact"/>
        <w:rPr>
          <w:sz w:val="20"/>
          <w:szCs w:val="20"/>
          <w:color w:val="auto"/>
        </w:rPr>
      </w:pPr>
    </w:p>
    <w:p>
      <w:pPr>
        <w:ind w:left="1540" w:right="579" w:firstLine="329"/>
        <w:spacing w:after="0" w:line="267" w:lineRule="auto"/>
        <w:rPr>
          <w:sz w:val="20"/>
          <w:szCs w:val="20"/>
          <w:color w:val="auto"/>
        </w:rPr>
      </w:pPr>
      <w:r>
        <w:rPr>
          <w:rFonts w:ascii="Times New Roman" w:cs="Times New Roman" w:eastAsia="Times New Roman" w:hAnsi="Times New Roman"/>
          <w:sz w:val="13"/>
          <w:szCs w:val="13"/>
          <w:i w:val="1"/>
          <w:iCs w:val="1"/>
          <w:color w:val="auto"/>
        </w:rPr>
        <w:t>Voting Rights</w:t>
      </w:r>
      <w:r>
        <w:rPr>
          <w:rFonts w:ascii="Times New Roman" w:cs="Times New Roman" w:eastAsia="Times New Roman" w:hAnsi="Times New Roman"/>
          <w:sz w:val="13"/>
          <w:szCs w:val="13"/>
          <w:color w:val="auto"/>
        </w:rPr>
        <w:t>. Holders of shares of Class B Common Stock are entitled to one vote for each share held of record on all matters on which</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stockholders are entitled to vote generally, except that holders of shares of Class B Common Stock have no voting power with respect to, and are not entitled to vote on, any amendment to the Amended and Restated Charter (including any certificate of designations relating to any series of Preferred Stock) that relates solely to the terms of any outstanding Preferred Stock if the holders of such Preferred Stock are entitled to vote as a separate class thereon under the Amended and Restated Charter or under the DGCL. The holders of Class B Common Stock do not have cumulative voting rights in the election of directors.</w:t>
      </w:r>
    </w:p>
    <w:p>
      <w:pPr>
        <w:spacing w:after="0" w:line="133" w:lineRule="exact"/>
        <w:rPr>
          <w:sz w:val="20"/>
          <w:szCs w:val="20"/>
          <w:color w:val="auto"/>
        </w:rPr>
      </w:pPr>
    </w:p>
    <w:p>
      <w:pPr>
        <w:ind w:left="1540" w:right="559" w:firstLine="329"/>
        <w:spacing w:after="0" w:line="278" w:lineRule="auto"/>
        <w:rPr>
          <w:sz w:val="20"/>
          <w:szCs w:val="20"/>
          <w:color w:val="auto"/>
        </w:rPr>
      </w:pPr>
      <w:r>
        <w:rPr>
          <w:rFonts w:ascii="Times New Roman" w:cs="Times New Roman" w:eastAsia="Times New Roman" w:hAnsi="Times New Roman"/>
          <w:sz w:val="13"/>
          <w:szCs w:val="13"/>
          <w:color w:val="auto"/>
        </w:rPr>
        <w:t>Holders of outstanding shares of Class B Common Stock are entitled to vote separately upon any amendment to the Amended and Restated Charter (including by merger, consolidation, conversion, reorganization or similar event) that would alter or change the powers, preferences or special rights of Class B Common Stock in a manner that is materially and disproportionately adverse as compared to the Class A Common Stock.</w:t>
      </w:r>
    </w:p>
    <w:p>
      <w:pPr>
        <w:spacing w:after="0" w:line="125" w:lineRule="exact"/>
        <w:rPr>
          <w:sz w:val="20"/>
          <w:szCs w:val="20"/>
          <w:color w:val="auto"/>
        </w:rPr>
      </w:pPr>
    </w:p>
    <w:p>
      <w:pPr>
        <w:ind w:left="1540" w:right="479" w:firstLine="329"/>
        <w:spacing w:after="0" w:line="271" w:lineRule="auto"/>
        <w:rPr>
          <w:sz w:val="20"/>
          <w:szCs w:val="20"/>
          <w:color w:val="auto"/>
        </w:rPr>
      </w:pPr>
      <w:r>
        <w:rPr>
          <w:rFonts w:ascii="Times New Roman" w:cs="Times New Roman" w:eastAsia="Times New Roman" w:hAnsi="Times New Roman"/>
          <w:sz w:val="13"/>
          <w:szCs w:val="13"/>
          <w:color w:val="auto"/>
        </w:rPr>
        <w:t>Holders of outstanding shares of Class B Common Stock are entitled to vote separately upon any (A) merger, consolidation, conversion, reorganization or similar event in connection with any transaction or series of transactions intended to result in the Company no longer being structured as an umbrella partnership C corporation (an “Up-C Reorganization Transaction”) or (B) amendment to the Amended and Restated Charter (including by merger, consolidation, conversion, reorganization or similar event) to effect an Up-C Reorganization Transaction.</w:t>
      </w:r>
    </w:p>
    <w:p>
      <w:pPr>
        <w:spacing w:after="0" w:line="131" w:lineRule="exact"/>
        <w:rPr>
          <w:sz w:val="20"/>
          <w:szCs w:val="20"/>
          <w:color w:val="auto"/>
        </w:rPr>
      </w:pPr>
    </w:p>
    <w:p>
      <w:pPr>
        <w:ind w:left="1540" w:right="679" w:firstLine="329"/>
        <w:spacing w:after="0" w:line="278" w:lineRule="auto"/>
        <w:rPr>
          <w:sz w:val="20"/>
          <w:szCs w:val="20"/>
          <w:color w:val="auto"/>
        </w:rPr>
      </w:pPr>
      <w:r>
        <w:rPr>
          <w:rFonts w:ascii="Times New Roman" w:cs="Times New Roman" w:eastAsia="Times New Roman" w:hAnsi="Times New Roman"/>
          <w:sz w:val="13"/>
          <w:szCs w:val="13"/>
          <w:color w:val="auto"/>
        </w:rPr>
        <w:t>Holders of the Shares vote together as a single class on all matters (or, if any holders of Preferred Stock are entitled to vote together with the holders of the Shares, as a single class with the holders of Preferred Stock) except as otherwise required in the Amended and Restated Charter or by applicable law.</w:t>
      </w:r>
    </w:p>
    <w:p>
      <w:pPr>
        <w:spacing w:after="0" w:line="123" w:lineRule="exact"/>
        <w:rPr>
          <w:sz w:val="20"/>
          <w:szCs w:val="20"/>
          <w:color w:val="auto"/>
        </w:rPr>
      </w:pPr>
    </w:p>
    <w:p>
      <w:pPr>
        <w:ind w:left="1540" w:right="419" w:firstLine="329"/>
        <w:spacing w:after="0" w:line="272" w:lineRule="auto"/>
        <w:rPr>
          <w:sz w:val="20"/>
          <w:szCs w:val="20"/>
          <w:color w:val="auto"/>
        </w:rPr>
      </w:pPr>
      <w:r>
        <w:rPr>
          <w:rFonts w:ascii="Times New Roman" w:cs="Times New Roman" w:eastAsia="Times New Roman" w:hAnsi="Times New Roman"/>
          <w:sz w:val="13"/>
          <w:szCs w:val="13"/>
          <w:i w:val="1"/>
          <w:iCs w:val="1"/>
          <w:color w:val="auto"/>
        </w:rPr>
        <w:t>Dividend Rights</w:t>
      </w:r>
      <w:r>
        <w:rPr>
          <w:rFonts w:ascii="Times New Roman" w:cs="Times New Roman" w:eastAsia="Times New Roman" w:hAnsi="Times New Roman"/>
          <w:sz w:val="13"/>
          <w:szCs w:val="13"/>
          <w:color w:val="auto"/>
        </w:rPr>
        <w:t>. Holders of Class B Common Stock do not have any right to receive dividends. In no event will any dividend be declared or made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on any Shares unless (1) a corresponding dividend for all other Shares not so adjusted at the time outstanding is made in the same proportion and the same manner and (2) the dividend has been reflected in the same economically equivalent manner on all Shares. Dividends with respect to Shares may only be paid with shares of stock of the same class of common stock.</w:t>
      </w:r>
    </w:p>
    <w:p>
      <w:pPr>
        <w:spacing w:after="0" w:line="129" w:lineRule="exact"/>
        <w:rPr>
          <w:sz w:val="20"/>
          <w:szCs w:val="20"/>
          <w:color w:val="auto"/>
        </w:rPr>
      </w:pPr>
    </w:p>
    <w:p>
      <w:pPr>
        <w:ind w:left="1540" w:right="499" w:firstLine="329"/>
        <w:spacing w:after="0" w:line="300" w:lineRule="auto"/>
        <w:rPr>
          <w:sz w:val="20"/>
          <w:szCs w:val="20"/>
          <w:color w:val="auto"/>
        </w:rPr>
      </w:pPr>
      <w:r>
        <w:rPr>
          <w:rFonts w:ascii="Times New Roman" w:cs="Times New Roman" w:eastAsia="Times New Roman" w:hAnsi="Times New Roman"/>
          <w:sz w:val="13"/>
          <w:szCs w:val="13"/>
          <w:i w:val="1"/>
          <w:iCs w:val="1"/>
          <w:color w:val="auto"/>
        </w:rPr>
        <w:t>Liquidation Rights</w:t>
      </w:r>
      <w:r>
        <w:rPr>
          <w:rFonts w:ascii="Times New Roman" w:cs="Times New Roman" w:eastAsia="Times New Roman" w:hAnsi="Times New Roman"/>
          <w:sz w:val="13"/>
          <w:szCs w:val="13"/>
          <w:color w:val="auto"/>
        </w:rPr>
        <w:t>. Holders of Class B Common Stock do not have any right to receive a distribution upon liquidation, dissolution or winding up</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of the Company.</w:t>
      </w:r>
    </w:p>
    <w:p>
      <w:pPr>
        <w:spacing w:after="0" w:line="110" w:lineRule="exact"/>
        <w:rPr>
          <w:sz w:val="20"/>
          <w:szCs w:val="20"/>
          <w:color w:val="auto"/>
        </w:rPr>
      </w:pPr>
    </w:p>
    <w:p>
      <w:pPr>
        <w:ind w:left="1540" w:right="419" w:firstLine="329"/>
        <w:spacing w:after="0" w:line="269" w:lineRule="auto"/>
        <w:rPr>
          <w:sz w:val="20"/>
          <w:szCs w:val="20"/>
          <w:color w:val="auto"/>
        </w:rPr>
      </w:pPr>
      <w:r>
        <w:rPr>
          <w:rFonts w:ascii="Times New Roman" w:cs="Times New Roman" w:eastAsia="Times New Roman" w:hAnsi="Times New Roman"/>
          <w:sz w:val="13"/>
          <w:szCs w:val="13"/>
          <w:i w:val="1"/>
          <w:iCs w:val="1"/>
          <w:color w:val="auto"/>
        </w:rPr>
        <w:t>Retirement of Shares</w:t>
      </w:r>
      <w:r>
        <w:rPr>
          <w:rFonts w:ascii="Times New Roman" w:cs="Times New Roman" w:eastAsia="Times New Roman" w:hAnsi="Times New Roman"/>
          <w:sz w:val="13"/>
          <w:szCs w:val="13"/>
          <w:color w:val="auto"/>
        </w:rPr>
        <w:t>. No holder of Class B Common Stock may transfer shares of Class B Common Stock to any person unless such holder</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transfers a corresponding number of Cibus Global Common Units to the same person in accordance with the provisions of Cibus Global’s operating agreement (the “Cibus Global Amended Operating Agreement”). If any outstanding share of Class B Common Stock ceases to be held by a holder of the corresponding Cibus Global Common Unit, such share shall automatically and without further action on the part of the Company or any holder of Class B Common Stock be transferred to the Company for no consideration and retired.</w:t>
      </w:r>
    </w:p>
    <w:p>
      <w:pPr>
        <w:spacing w:after="0" w:line="130" w:lineRule="exact"/>
        <w:rPr>
          <w:sz w:val="20"/>
          <w:szCs w:val="20"/>
          <w:color w:val="auto"/>
        </w:rPr>
      </w:pPr>
    </w:p>
    <w:p>
      <w:pPr>
        <w:ind w:left="1540" w:right="439" w:firstLine="329"/>
        <w:spacing w:after="0" w:line="279" w:lineRule="auto"/>
        <w:rPr>
          <w:sz w:val="20"/>
          <w:szCs w:val="20"/>
          <w:color w:val="auto"/>
        </w:rPr>
      </w:pPr>
      <w:r>
        <w:rPr>
          <w:rFonts w:ascii="Times New Roman" w:cs="Times New Roman" w:eastAsia="Times New Roman" w:hAnsi="Times New Roman"/>
          <w:sz w:val="13"/>
          <w:szCs w:val="13"/>
          <w:i w:val="1"/>
          <w:iCs w:val="1"/>
          <w:color w:val="auto"/>
        </w:rPr>
        <w:t>Issuance of Cibus Global Common Units</w:t>
      </w:r>
      <w:r>
        <w:rPr>
          <w:rFonts w:ascii="Times New Roman" w:cs="Times New Roman" w:eastAsia="Times New Roman" w:hAnsi="Times New Roman"/>
          <w:sz w:val="13"/>
          <w:szCs w:val="13"/>
          <w:color w:val="auto"/>
        </w:rPr>
        <w:t>. To the extent common units of Cibus Global (“Cibus Global Common Units”) are issued pursuant to</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Cibus Global’s amended operating agreement to anyone other than the Company or a wholly owned subsidiary of Cibus, Inc., an equivalent number of shares of Class B Common Stock (subject to adjustment) will be issued at par to the same person to which such Cibus Global Common Units are issued.</w:t>
      </w:r>
    </w:p>
    <w:p>
      <w:pPr>
        <w:spacing w:after="0" w:line="202"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3"/>
          <w:szCs w:val="13"/>
          <w:b w:val="1"/>
          <w:bCs w:val="1"/>
          <w:color w:val="auto"/>
        </w:rPr>
        <w:t>Preferred Stock</w:t>
      </w:r>
    </w:p>
    <w:p>
      <w:pPr>
        <w:spacing w:after="0" w:line="96" w:lineRule="exact"/>
        <w:rPr>
          <w:sz w:val="20"/>
          <w:szCs w:val="20"/>
          <w:color w:val="auto"/>
        </w:rPr>
      </w:pPr>
    </w:p>
    <w:p>
      <w:pPr>
        <w:ind w:left="1540" w:right="879" w:firstLine="329"/>
        <w:spacing w:after="0" w:line="297" w:lineRule="auto"/>
        <w:rPr>
          <w:sz w:val="20"/>
          <w:szCs w:val="20"/>
          <w:color w:val="auto"/>
        </w:rPr>
      </w:pPr>
      <w:r>
        <w:rPr>
          <w:rFonts w:ascii="Times New Roman" w:cs="Times New Roman" w:eastAsia="Times New Roman" w:hAnsi="Times New Roman"/>
          <w:sz w:val="13"/>
          <w:szCs w:val="13"/>
          <w:color w:val="auto"/>
        </w:rPr>
        <w:t>No shares of Preferred Stock are issued or outstanding as of the date of this prospectus. The Amended and Restated Charter authorizes the Company’s Board to establish one or more series of Preferred Stock. The</w:t>
      </w:r>
    </w:p>
    <w:p>
      <w:pPr>
        <w:spacing w:after="0" w:line="6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11</w:t>
      </w:r>
    </w:p>
    <w:p>
      <w:pPr>
        <w:sectPr>
          <w:pgSz w:w="11900" w:h="16838" w:orient="portrait"/>
          <w:cols w:equalWidth="0" w:num="1">
            <w:col w:w="10159"/>
          </w:cols>
          <w:pgMar w:left="300" w:top="375" w:right="1440"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2">
                      <a:extLst>
                        <a:ext uri="{28A0092B-C50C-407E-A947-70E740481C1C}"/>
                      </a:extLst>
                    </a:blip>
                    <a:srcRect/>
                    <a:stretch>
                      <a:fillRect/>
                    </a:stretch>
                  </pic:blipFill>
                  <pic:spPr bwMode="auto">
                    <a:xfrm>
                      <a:off x="0" y="0"/>
                      <a:ext cx="7205345" cy="31750"/>
                    </a:xfrm>
                    <a:prstGeom prst="rect">
                      <a:avLst/>
                    </a:prstGeom>
                    <a:noFill/>
                  </pic:spPr>
                </pic:pic>
              </a:graphicData>
            </a:graphic>
          </wp:anchor>
        </w:drawing>
        <w:t>Table of Contents</w:t>
      </w:r>
    </w:p>
    <w:p>
      <w:pPr>
        <w:spacing w:after="0" w:line="248" w:lineRule="exact"/>
        <w:rPr>
          <w:sz w:val="20"/>
          <w:szCs w:val="20"/>
          <w:color w:val="auto"/>
        </w:rPr>
      </w:pPr>
    </w:p>
    <w:p>
      <w:pPr>
        <w:ind w:left="1540" w:right="559"/>
        <w:spacing w:after="0" w:line="297" w:lineRule="auto"/>
        <w:rPr>
          <w:sz w:val="20"/>
          <w:szCs w:val="20"/>
          <w:color w:val="auto"/>
        </w:rPr>
      </w:pPr>
      <w:r>
        <w:rPr>
          <w:rFonts w:ascii="Times New Roman" w:cs="Times New Roman" w:eastAsia="Times New Roman" w:hAnsi="Times New Roman"/>
          <w:sz w:val="13"/>
          <w:szCs w:val="13"/>
          <w:color w:val="auto"/>
        </w:rPr>
        <w:t>Company’s Board will be able to determine, with respect to any series of Preferred Stock, the powers (including voting powers), and the designations, preferences and relative, participating, optional or other special rights, and any qualifications, limitations or restrictions thereof.</w:t>
      </w:r>
    </w:p>
    <w:p>
      <w:pPr>
        <w:spacing w:after="0" w:line="190"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3"/>
          <w:szCs w:val="13"/>
          <w:b w:val="1"/>
          <w:bCs w:val="1"/>
          <w:color w:val="auto"/>
        </w:rPr>
        <w:t>Dividends</w:t>
      </w:r>
    </w:p>
    <w:p>
      <w:pPr>
        <w:spacing w:after="0" w:line="96" w:lineRule="exact"/>
        <w:rPr>
          <w:sz w:val="20"/>
          <w:szCs w:val="20"/>
          <w:color w:val="auto"/>
        </w:rPr>
      </w:pPr>
    </w:p>
    <w:p>
      <w:pPr>
        <w:ind w:left="1540" w:right="459" w:firstLine="329"/>
        <w:spacing w:after="0" w:line="265" w:lineRule="auto"/>
        <w:rPr>
          <w:sz w:val="20"/>
          <w:szCs w:val="20"/>
          <w:color w:val="auto"/>
        </w:rPr>
      </w:pPr>
      <w:r>
        <w:rPr>
          <w:rFonts w:ascii="Times New Roman" w:cs="Times New Roman" w:eastAsia="Times New Roman" w:hAnsi="Times New Roman"/>
          <w:sz w:val="13"/>
          <w:szCs w:val="13"/>
          <w:color w:val="auto"/>
        </w:rPr>
        <w:t>The DGCL permits a corporation to declare and pay dividends out of “surplus” or, if there is no “surplus,” out of its net profits for the fiscal year in which the dividend is declared and/or the preceding fiscal year. “Surplus” is defined as the excess of the net assets of the corporation over the amount determined to be the capital of the corporation by its board of directors. The capital of the corporation is typically calculated to be (and cannot be less than) the aggregate par value of all issued shares of capital stock. Net assets equals the fair value of the total assets minus total liabilities. The DGCL also provides that dividends may not be paid out of net profits if, after the payment of the dividend, remaining capital would be less than the capital represented by the outstanding stock of all classes having a preference upon the distribution of assets. Declaration and payment of any dividend will be subject to the discretion of the Company’s Board.</w:t>
      </w:r>
    </w:p>
    <w:p>
      <w:pPr>
        <w:spacing w:after="0" w:line="135" w:lineRule="exact"/>
        <w:rPr>
          <w:sz w:val="20"/>
          <w:szCs w:val="20"/>
          <w:color w:val="auto"/>
        </w:rPr>
      </w:pPr>
    </w:p>
    <w:p>
      <w:pPr>
        <w:ind w:left="1540" w:right="579" w:firstLine="329"/>
        <w:spacing w:after="0" w:line="271" w:lineRule="auto"/>
        <w:rPr>
          <w:sz w:val="20"/>
          <w:szCs w:val="20"/>
          <w:color w:val="auto"/>
        </w:rPr>
      </w:pPr>
      <w:r>
        <w:rPr>
          <w:rFonts w:ascii="Times New Roman" w:cs="Times New Roman" w:eastAsia="Times New Roman" w:hAnsi="Times New Roman"/>
          <w:sz w:val="13"/>
          <w:szCs w:val="13"/>
          <w:color w:val="auto"/>
        </w:rPr>
        <w:t>Cibus has no current plans to pay dividends on the Company’s Class A Common Stock. Any decision to declare and pay dividends in the future will be made at the sole discretion of the Company’s Board and will depend on, among other things, the Company’s results of operations, cash requirements, financial condition, contractual restrictions and other factors that the Company’s Board may deem relevant. Because Cibus, Inc. is a holding company and will have no direct operations, the Company may only be able to pay dividends from funds it receives from its subsidiaries.</w:t>
      </w:r>
    </w:p>
    <w:p>
      <w:pPr>
        <w:spacing w:after="0" w:line="208"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3"/>
          <w:szCs w:val="13"/>
          <w:b w:val="1"/>
          <w:bCs w:val="1"/>
          <w:color w:val="auto"/>
        </w:rPr>
        <w:t>Annual Stockholder Meetings</w:t>
      </w:r>
    </w:p>
    <w:p>
      <w:pPr>
        <w:spacing w:after="0" w:line="96" w:lineRule="exact"/>
        <w:rPr>
          <w:sz w:val="20"/>
          <w:szCs w:val="20"/>
          <w:color w:val="auto"/>
        </w:rPr>
      </w:pPr>
    </w:p>
    <w:p>
      <w:pPr>
        <w:ind w:left="1540" w:right="639" w:firstLine="329"/>
        <w:spacing w:after="0" w:line="278" w:lineRule="auto"/>
        <w:rPr>
          <w:sz w:val="20"/>
          <w:szCs w:val="20"/>
          <w:color w:val="auto"/>
        </w:rPr>
      </w:pPr>
      <w:r>
        <w:rPr>
          <w:rFonts w:ascii="Times New Roman" w:cs="Times New Roman" w:eastAsia="Times New Roman" w:hAnsi="Times New Roman"/>
          <w:sz w:val="13"/>
          <w:szCs w:val="13"/>
          <w:color w:val="auto"/>
        </w:rPr>
        <w:t>The Amended Bylaws provide that annual stockholder meetings will be held at a date, time and place, if any, as may be designated by the Company’s Board or, in the absence of a designation by the Company’s Board, by the chair, the chief executive officer or the secretary. To the extent permitted under applicable law, the Company may conduct meetings by remote communications, including by webcast.</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Anti-Takeover Effects of the Amended and Restated Charter, the Amended Bylaws and Certain Provisions of Delaware Law</w:t>
      </w:r>
    </w:p>
    <w:p>
      <w:pPr>
        <w:spacing w:after="0" w:line="96" w:lineRule="exact"/>
        <w:rPr>
          <w:sz w:val="20"/>
          <w:szCs w:val="20"/>
          <w:color w:val="auto"/>
        </w:rPr>
      </w:pPr>
    </w:p>
    <w:p>
      <w:pPr>
        <w:ind w:left="1540" w:right="459" w:firstLine="329"/>
        <w:spacing w:after="0" w:line="265" w:lineRule="auto"/>
        <w:rPr>
          <w:sz w:val="20"/>
          <w:szCs w:val="20"/>
          <w:color w:val="auto"/>
        </w:rPr>
      </w:pPr>
      <w:r>
        <w:rPr>
          <w:rFonts w:ascii="Times New Roman" w:cs="Times New Roman" w:eastAsia="Times New Roman" w:hAnsi="Times New Roman"/>
          <w:sz w:val="13"/>
          <w:szCs w:val="13"/>
          <w:color w:val="auto"/>
        </w:rPr>
        <w:t>The Amended and Restated Charter, the Amended Bylaws and certain provisions of the DGCL contain provisions, which are summarized in the following paragraphs, that are intended to enhance the likelihood of continuity and stability in the composition of the Company’s Board. These provisions are intended to avoid costly takeover battles, reduce the Company’s vulnerability to a hostile or abusive change of control and enhance the ability of the Company’s Board to maximize stockholder value in connection with any unsolicited offer to acquire the Company. However, these provisions may have an anti-takeover effect and may delay, deter or prevent a merger or acquisition of the Company by means of a tender offer, a proxy contest or other takeover attempt that a stockholder might consider in its best interest, including those attempts that might result in a premium over the prevailing market price for the Shares held by stockholders.</w:t>
      </w:r>
    </w:p>
    <w:p>
      <w:pPr>
        <w:spacing w:after="0" w:line="213"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3"/>
          <w:szCs w:val="13"/>
          <w:i w:val="1"/>
          <w:iCs w:val="1"/>
          <w:color w:val="auto"/>
        </w:rPr>
        <w:t>Authorized but Unissued Capital Stock</w:t>
      </w:r>
    </w:p>
    <w:p>
      <w:pPr>
        <w:spacing w:after="0" w:line="94" w:lineRule="exact"/>
        <w:rPr>
          <w:sz w:val="20"/>
          <w:szCs w:val="20"/>
          <w:color w:val="auto"/>
        </w:rPr>
      </w:pPr>
    </w:p>
    <w:p>
      <w:pPr>
        <w:ind w:left="1540" w:right="439" w:firstLine="329"/>
        <w:spacing w:after="0" w:line="268" w:lineRule="auto"/>
        <w:rPr>
          <w:sz w:val="20"/>
          <w:szCs w:val="20"/>
          <w:color w:val="auto"/>
        </w:rPr>
      </w:pPr>
      <w:r>
        <w:rPr>
          <w:rFonts w:ascii="Times New Roman" w:cs="Times New Roman" w:eastAsia="Times New Roman" w:hAnsi="Times New Roman"/>
          <w:sz w:val="13"/>
          <w:szCs w:val="13"/>
          <w:color w:val="auto"/>
        </w:rPr>
        <w:t>Delaware law does not require stockholder approval for any issuance of shares that are authorized and available for issuance. However, the listing requirements of Nasdaq, which apply so long as the Company’s Class A Common Stock remains listed on Nasdaq, require stockholder approval of certain issuances equal to or exceeding 20% of the then outstanding voting power of the Company’s capital stock or then outstanding number of shares of Class A Common Stock. These additional shares may be used for a variety of corporate purposes, including future public offerings, to raise additional capital or to facilitate acquisitions.</w:t>
      </w:r>
    </w:p>
    <w:p>
      <w:pPr>
        <w:spacing w:after="0" w:line="8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12</w:t>
      </w:r>
    </w:p>
    <w:p>
      <w:pPr>
        <w:sectPr>
          <w:pgSz w:w="11900" w:h="16838" w:orient="portrait"/>
          <w:cols w:equalWidth="0" w:num="1">
            <w:col w:w="10159"/>
          </w:cols>
          <w:pgMar w:left="300" w:top="375" w:right="1440"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3">
                      <a:extLst>
                        <a:ext uri="{28A0092B-C50C-407E-A947-70E740481C1C}"/>
                      </a:extLst>
                    </a:blip>
                    <a:srcRect/>
                    <a:stretch>
                      <a:fillRect/>
                    </a:stretch>
                  </pic:blipFill>
                  <pic:spPr bwMode="auto">
                    <a:xfrm>
                      <a:off x="0" y="0"/>
                      <a:ext cx="7205345" cy="31750"/>
                    </a:xfrm>
                    <a:prstGeom prst="rect">
                      <a:avLst/>
                    </a:prstGeom>
                    <a:noFill/>
                  </pic:spPr>
                </pic:pic>
              </a:graphicData>
            </a:graphic>
          </wp:anchor>
        </w:drawing>
        <w:t>Table of Contents</w:t>
      </w:r>
    </w:p>
    <w:p>
      <w:pPr>
        <w:spacing w:after="0" w:line="248" w:lineRule="exact"/>
        <w:rPr>
          <w:sz w:val="20"/>
          <w:szCs w:val="20"/>
          <w:color w:val="auto"/>
        </w:rPr>
      </w:pPr>
    </w:p>
    <w:p>
      <w:pPr>
        <w:ind w:left="1540" w:right="479" w:firstLine="329"/>
        <w:spacing w:after="0" w:line="271" w:lineRule="auto"/>
        <w:rPr>
          <w:sz w:val="20"/>
          <w:szCs w:val="20"/>
          <w:color w:val="auto"/>
        </w:rPr>
      </w:pPr>
      <w:r>
        <w:rPr>
          <w:rFonts w:ascii="Times New Roman" w:cs="Times New Roman" w:eastAsia="Times New Roman" w:hAnsi="Times New Roman"/>
          <w:sz w:val="13"/>
          <w:szCs w:val="13"/>
          <w:color w:val="auto"/>
        </w:rPr>
        <w:t>The Company’s Board will be authorized to generally issue shares of one or more series of Preferred Stock on terms calculated to discourage, delay or prevent a change of control of the Company or the removal of the Company’s management. Moreover, the Company’s authorized but unissued shares of Preferred Stock will be available for future issuances in one or more series without stockholder approval and could be utilized for a variety of corporate purposes, including future offerings to raise additional capital, to facilitate acquisitions and employee benefit plans.</w:t>
      </w:r>
    </w:p>
    <w:p>
      <w:pPr>
        <w:spacing w:after="0" w:line="131" w:lineRule="exact"/>
        <w:rPr>
          <w:sz w:val="20"/>
          <w:szCs w:val="20"/>
          <w:color w:val="auto"/>
        </w:rPr>
      </w:pPr>
    </w:p>
    <w:p>
      <w:pPr>
        <w:ind w:left="1540" w:right="659" w:firstLine="329"/>
        <w:spacing w:after="0" w:line="268" w:lineRule="auto"/>
        <w:rPr>
          <w:sz w:val="20"/>
          <w:szCs w:val="20"/>
          <w:color w:val="auto"/>
        </w:rPr>
      </w:pPr>
      <w:r>
        <w:rPr>
          <w:rFonts w:ascii="Times New Roman" w:cs="Times New Roman" w:eastAsia="Times New Roman" w:hAnsi="Times New Roman"/>
          <w:sz w:val="13"/>
          <w:szCs w:val="13"/>
          <w:color w:val="auto"/>
        </w:rPr>
        <w:t>One of the effects of the existence of authorized and unissued and unreserved Class A Common Stock or Preferred Stock may be to enable the Company’s Board to issue shares to persons friendly to current management, which issuance could render more difficult or discourage an attempt to obtain control the Company by means of a merger, tender offer, proxy contest or otherwise, and thereby protect the continuity of the Company’s management and possibly deprive the Company’s stockholders of opportunities to sell their shares of Class A Common Stock at prices higher than prevailing market prices.</w:t>
      </w:r>
    </w:p>
    <w:p>
      <w:pPr>
        <w:spacing w:after="0" w:line="211"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3"/>
          <w:szCs w:val="13"/>
          <w:i w:val="1"/>
          <w:iCs w:val="1"/>
          <w:color w:val="auto"/>
        </w:rPr>
        <w:t>Vacancies and Newly Created Directorships</w:t>
      </w:r>
    </w:p>
    <w:p>
      <w:pPr>
        <w:spacing w:after="0" w:line="94" w:lineRule="exact"/>
        <w:rPr>
          <w:sz w:val="20"/>
          <w:szCs w:val="20"/>
          <w:color w:val="auto"/>
        </w:rPr>
      </w:pPr>
    </w:p>
    <w:p>
      <w:pPr>
        <w:ind w:left="1540" w:right="499" w:firstLine="329"/>
        <w:spacing w:after="0" w:line="268" w:lineRule="auto"/>
        <w:rPr>
          <w:sz w:val="20"/>
          <w:szCs w:val="20"/>
          <w:color w:val="auto"/>
        </w:rPr>
      </w:pPr>
      <w:r>
        <w:rPr>
          <w:rFonts w:ascii="Times New Roman" w:cs="Times New Roman" w:eastAsia="Times New Roman" w:hAnsi="Times New Roman"/>
          <w:sz w:val="13"/>
          <w:szCs w:val="13"/>
          <w:color w:val="auto"/>
        </w:rPr>
        <w:t>The Amended and Restated Charter and the Amended Bylaws provide that any vacancies on the Company’s Board, and any newly created directorships, will be filled only by the affirmative vote of a majority of the remaining directors then in office, even if less than a quorum, and any director so chosen will hold office until the earlier expiration of the term of office of the director whom he or she has replaced or his or her successor shall be duly elected and qualified or until such director’s earlier death, disqualification, resignation or removal. No decrease in the number of directors shall shorten the term of any director then in office.</w:t>
      </w:r>
    </w:p>
    <w:p>
      <w:pPr>
        <w:spacing w:after="0" w:line="211"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3"/>
          <w:szCs w:val="13"/>
          <w:i w:val="1"/>
          <w:iCs w:val="1"/>
          <w:color w:val="auto"/>
        </w:rPr>
        <w:t>No Cumulative Voting</w:t>
      </w:r>
    </w:p>
    <w:p>
      <w:pPr>
        <w:spacing w:after="0" w:line="94" w:lineRule="exact"/>
        <w:rPr>
          <w:sz w:val="20"/>
          <w:szCs w:val="20"/>
          <w:color w:val="auto"/>
        </w:rPr>
      </w:pPr>
    </w:p>
    <w:p>
      <w:pPr>
        <w:jc w:val="both"/>
        <w:ind w:left="1540" w:right="439" w:firstLine="329"/>
        <w:spacing w:after="0" w:line="278" w:lineRule="auto"/>
        <w:rPr>
          <w:sz w:val="20"/>
          <w:szCs w:val="20"/>
          <w:color w:val="auto"/>
        </w:rPr>
      </w:pPr>
      <w:r>
        <w:rPr>
          <w:rFonts w:ascii="Times New Roman" w:cs="Times New Roman" w:eastAsia="Times New Roman" w:hAnsi="Times New Roman"/>
          <w:sz w:val="13"/>
          <w:szCs w:val="13"/>
          <w:color w:val="auto"/>
        </w:rPr>
        <w:t>Under Delaware law, the right to vote cumulatively does not exist unless the certificate of incorporation specifically authorizes cumulative voting. The Amended and Restated Charter does not authorize cumulative voting. Therefore, stockholders holding a majority in voting power of the Company’s stock entitled to vote generally in the election of directors will be able to elect all directors.</w:t>
      </w:r>
    </w:p>
    <w:p>
      <w:pPr>
        <w:spacing w:after="0" w:line="204"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3"/>
          <w:szCs w:val="13"/>
          <w:i w:val="1"/>
          <w:iCs w:val="1"/>
          <w:color w:val="auto"/>
        </w:rPr>
        <w:t>Special Stockholder Meetings</w:t>
      </w:r>
    </w:p>
    <w:p>
      <w:pPr>
        <w:spacing w:after="0" w:line="94" w:lineRule="exact"/>
        <w:rPr>
          <w:sz w:val="20"/>
          <w:szCs w:val="20"/>
          <w:color w:val="auto"/>
        </w:rPr>
      </w:pPr>
    </w:p>
    <w:p>
      <w:pPr>
        <w:ind w:left="1540" w:right="439" w:firstLine="329"/>
        <w:spacing w:after="0" w:line="268" w:lineRule="auto"/>
        <w:rPr>
          <w:sz w:val="20"/>
          <w:szCs w:val="20"/>
          <w:color w:val="auto"/>
        </w:rPr>
      </w:pPr>
      <w:r>
        <w:rPr>
          <w:rFonts w:ascii="Times New Roman" w:cs="Times New Roman" w:eastAsia="Times New Roman" w:hAnsi="Times New Roman"/>
          <w:sz w:val="13"/>
          <w:szCs w:val="13"/>
          <w:color w:val="auto"/>
        </w:rPr>
        <w:t>The Amended and Restated Charter and the Amended Bylaws provide that special meetings of stockholders may be called only by the chair of the Company’s Board, the Company’s chief executive officer or at the direction of the Company’s Board pursuant to a written resolution adopted by a majority of the total number of directors that Cibus would have if there were no vacancies. Any business transacted at a special meeting of stockholders will be limited to matters set forth in the notice of the special meeting. These provisions may have the effect of deterring, delaying or discouraging hostile takeovers, or changes in control or the Company’s management.</w:t>
      </w:r>
    </w:p>
    <w:p>
      <w:pPr>
        <w:spacing w:after="0" w:line="211"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3"/>
          <w:szCs w:val="13"/>
          <w:i w:val="1"/>
          <w:iCs w:val="1"/>
          <w:color w:val="auto"/>
        </w:rPr>
        <w:t>Director Nominations and Stockholder Proposals</w:t>
      </w:r>
    </w:p>
    <w:p>
      <w:pPr>
        <w:spacing w:after="0" w:line="94" w:lineRule="exact"/>
        <w:rPr>
          <w:sz w:val="20"/>
          <w:szCs w:val="20"/>
          <w:color w:val="auto"/>
        </w:rPr>
      </w:pPr>
    </w:p>
    <w:p>
      <w:pPr>
        <w:ind w:left="1540" w:right="539" w:firstLine="329"/>
        <w:spacing w:after="0" w:line="264" w:lineRule="auto"/>
        <w:rPr>
          <w:sz w:val="20"/>
          <w:szCs w:val="20"/>
          <w:color w:val="auto"/>
        </w:rPr>
      </w:pPr>
      <w:r>
        <w:rPr>
          <w:rFonts w:ascii="Times New Roman" w:cs="Times New Roman" w:eastAsia="Times New Roman" w:hAnsi="Times New Roman"/>
          <w:sz w:val="13"/>
          <w:szCs w:val="13"/>
          <w:color w:val="auto"/>
        </w:rPr>
        <w:t>The Amended Bylaws establish advance notice procedures with respect to stockholder nominations for the election as directors. In order for any matter to be “properly brought” before a meeting, a stockholder will have to comply with advance notice requirements and provide the Company with certain information. Generally, to be timely, a stockholder’s notice must be received at the Company’s principal executive offices not less than 90 days nor more than 120 days prior to the first anniversary date of the immediately preceding annual meeting of stockholders. The Amended Bylaws also specify requirements as to the form and content of a stockholder’s notice. The Amended Bylaws allow the chair of the meeting at a meeting of the stockholders to adopt rules and regulations for the conduct of meetings which may have the effect of precluding the conduct of certain business at a meeting if the rules and regulations are not followed. These provisions may also defer, delay or discourage a potential acquirer from conducting a solicitation of proxies to elect the acquirer’s own slate of directors or otherwise attempting to influence or obtain control of the Company.</w:t>
      </w:r>
    </w:p>
    <w:p>
      <w:pPr>
        <w:spacing w:after="0" w:line="8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13</w:t>
      </w:r>
    </w:p>
    <w:p>
      <w:pPr>
        <w:sectPr>
          <w:pgSz w:w="11900" w:h="16838" w:orient="portrait"/>
          <w:cols w:equalWidth="0" w:num="1">
            <w:col w:w="10159"/>
          </w:cols>
          <w:pgMar w:left="300" w:top="375" w:right="1440"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4">
                      <a:extLst>
                        <a:ext uri="{28A0092B-C50C-407E-A947-70E740481C1C}"/>
                      </a:extLst>
                    </a:blip>
                    <a:srcRect/>
                    <a:stretch>
                      <a:fillRect/>
                    </a:stretch>
                  </pic:blipFill>
                  <pic:spPr bwMode="auto">
                    <a:xfrm>
                      <a:off x="0" y="0"/>
                      <a:ext cx="7205345" cy="31750"/>
                    </a:xfrm>
                    <a:prstGeom prst="rect">
                      <a:avLst/>
                    </a:prstGeom>
                    <a:noFill/>
                  </pic:spPr>
                </pic:pic>
              </a:graphicData>
            </a:graphic>
          </wp:anchor>
        </w:drawing>
        <w:t>Table of Contents</w:t>
      </w:r>
    </w:p>
    <w:p>
      <w:pPr>
        <w:spacing w:after="0" w:line="246"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3"/>
          <w:szCs w:val="13"/>
          <w:i w:val="1"/>
          <w:iCs w:val="1"/>
          <w:color w:val="auto"/>
        </w:rPr>
        <w:t>Stockholder Action by Written Consent</w:t>
      </w:r>
    </w:p>
    <w:p>
      <w:pPr>
        <w:spacing w:after="0" w:line="94" w:lineRule="exact"/>
        <w:rPr>
          <w:sz w:val="20"/>
          <w:szCs w:val="20"/>
          <w:color w:val="auto"/>
        </w:rPr>
      </w:pPr>
    </w:p>
    <w:p>
      <w:pPr>
        <w:ind w:left="1540" w:right="439" w:firstLine="329"/>
        <w:spacing w:after="0" w:line="264" w:lineRule="auto"/>
        <w:rPr>
          <w:sz w:val="20"/>
          <w:szCs w:val="20"/>
          <w:color w:val="auto"/>
        </w:rPr>
      </w:pPr>
      <w:r>
        <w:rPr>
          <w:rFonts w:ascii="Times New Roman" w:cs="Times New Roman" w:eastAsia="Times New Roman" w:hAnsi="Times New Roman"/>
          <w:sz w:val="13"/>
          <w:szCs w:val="13"/>
          <w:color w:val="auto"/>
        </w:rPr>
        <w:t>Pursuant to Section 228 of the DGCL, any action required to be taken at any annual or special meeting of the stockholders may be taken without a meeting, without prior notice and without a vote if a consent or consents in writing, setting forth the action so taken, is or are signed by the holders of outstanding stock having not less than the minimum number of votes that would be necessary to authorize or take such action at a meeting at which all shares of stock entitled to vote thereon were present and voted, unless the certificate of incorporation provides otherwise. The Company’s Amended and Restated Charter precludes stockholder action by written consent; provided, however, that any action required or permitted to be taken by the holders of Class B Common Stock, voting separately as a class, may be effected by the consent in writing of the holders of a majority of the total voting power of the Class B Common Stock entitled to vote thereon, voting together as a single class in lieu of a duly called annual or special meeting of holders of Class B Common Stock.</w:t>
      </w:r>
    </w:p>
    <w:p>
      <w:pPr>
        <w:spacing w:after="0" w:line="136" w:lineRule="exact"/>
        <w:rPr>
          <w:sz w:val="20"/>
          <w:szCs w:val="20"/>
          <w:color w:val="auto"/>
        </w:rPr>
      </w:pPr>
    </w:p>
    <w:p>
      <w:pPr>
        <w:ind w:left="1540" w:right="419" w:firstLine="329"/>
        <w:spacing w:after="0" w:line="264" w:lineRule="auto"/>
        <w:rPr>
          <w:sz w:val="20"/>
          <w:szCs w:val="20"/>
          <w:color w:val="auto"/>
        </w:rPr>
      </w:pPr>
      <w:r>
        <w:rPr>
          <w:rFonts w:ascii="Times New Roman" w:cs="Times New Roman" w:eastAsia="Times New Roman" w:hAnsi="Times New Roman"/>
          <w:sz w:val="13"/>
          <w:szCs w:val="13"/>
          <w:color w:val="auto"/>
        </w:rPr>
        <w:t>These provisions may have the effect of deterring hostile takeovers or delaying or preventing changes in control of the Company or its management, such as a merger, reorganization or tender offer. These provisions are intended to enhance the likelihood of continued stability in the composition of the Company’s Board and its policies and to discourage certain types of transactions that may involve an actual or threatened acquisition of the Company’s Board. These provisions are designed to reduce the Company’s vulnerability to an unsolicited acquisition proposal. The provisions are also intended to discourage certain tactics that may be used in proxy fights. However, such provisions could have the effect of discouraging others from making tender offers for the Class A Common Stock and, as a consequence, they also may inhibit fluctuations in the market price of the Class A Common Stock that could result from actual or rumored takeover attempts. Such provisions may also have the effect of preventing changes in management.</w:t>
      </w:r>
    </w:p>
    <w:p>
      <w:pPr>
        <w:spacing w:after="0" w:line="37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3"/>
          <w:szCs w:val="13"/>
          <w:b w:val="1"/>
          <w:bCs w:val="1"/>
          <w:color w:val="auto"/>
        </w:rPr>
        <w:t>DGCL Section 203</w:t>
      </w:r>
    </w:p>
    <w:p>
      <w:pPr>
        <w:spacing w:after="0" w:line="96" w:lineRule="exact"/>
        <w:rPr>
          <w:sz w:val="20"/>
          <w:szCs w:val="20"/>
          <w:color w:val="auto"/>
        </w:rPr>
      </w:pPr>
    </w:p>
    <w:p>
      <w:pPr>
        <w:ind w:left="1540" w:right="459" w:firstLine="329"/>
        <w:spacing w:after="0" w:line="278" w:lineRule="auto"/>
        <w:rPr>
          <w:sz w:val="20"/>
          <w:szCs w:val="20"/>
          <w:color w:val="auto"/>
        </w:rPr>
      </w:pPr>
      <w:r>
        <w:rPr>
          <w:rFonts w:ascii="Times New Roman" w:cs="Times New Roman" w:eastAsia="Times New Roman" w:hAnsi="Times New Roman"/>
          <w:sz w:val="13"/>
          <w:szCs w:val="13"/>
          <w:color w:val="auto"/>
        </w:rPr>
        <w:t>The Company is subject to the provisions of Section 203 of the DGCL regulating corporate takeovers. In general, those provisions prohibit a Delaware corporation, including those whose securities are listed for trading on Nasdaq, from engaging in any business combination with any interested stockholder for a period of three years following the date that the stockholder became an interested stockholder, unless:</w:t>
      </w:r>
    </w:p>
    <w:p>
      <w:pPr>
        <w:spacing w:after="0" w:line="55" w:lineRule="exact"/>
        <w:rPr>
          <w:sz w:val="20"/>
          <w:szCs w:val="20"/>
          <w:color w:val="auto"/>
        </w:rPr>
      </w:pPr>
    </w:p>
    <w:p>
      <w:pPr>
        <w:ind w:left="2260" w:hanging="325"/>
        <w:spacing w:after="0"/>
        <w:tabs>
          <w:tab w:leader="none" w:pos="2260"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transaction is approved by the board of directors before the date the interested stockholder attained that status;</w:t>
      </w:r>
    </w:p>
    <w:p>
      <w:pPr>
        <w:spacing w:after="0" w:line="102" w:lineRule="exact"/>
        <w:rPr>
          <w:rFonts w:ascii="Times New Roman" w:cs="Times New Roman" w:eastAsia="Times New Roman" w:hAnsi="Times New Roman"/>
          <w:sz w:val="13"/>
          <w:szCs w:val="13"/>
          <w:color w:val="auto"/>
        </w:rPr>
      </w:pPr>
    </w:p>
    <w:p>
      <w:pPr>
        <w:ind w:left="2260" w:right="779" w:hanging="325"/>
        <w:spacing w:after="0" w:line="297" w:lineRule="auto"/>
        <w:tabs>
          <w:tab w:leader="none" w:pos="2260"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upon consummation of the transaction that resulted in the stockholder becoming an interested stockholder, the interested stockholder owned at least 85% of the voting stock of the corporation outstanding at the time the transaction commenced; or</w:t>
      </w:r>
    </w:p>
    <w:p>
      <w:pPr>
        <w:spacing w:after="0" w:line="43" w:lineRule="exact"/>
        <w:rPr>
          <w:rFonts w:ascii="Times New Roman" w:cs="Times New Roman" w:eastAsia="Times New Roman" w:hAnsi="Times New Roman"/>
          <w:sz w:val="13"/>
          <w:szCs w:val="13"/>
          <w:color w:val="auto"/>
        </w:rPr>
      </w:pPr>
    </w:p>
    <w:p>
      <w:pPr>
        <w:ind w:left="2260" w:right="439" w:hanging="325"/>
        <w:spacing w:after="0" w:line="297" w:lineRule="auto"/>
        <w:tabs>
          <w:tab w:leader="none" w:pos="2260"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on or after such time the business combination is approved by the board of directors and authorized at a meeting of stockholders by at least two-thirds of the outstanding voting stock that is not owned by the interested stockholder.</w:t>
      </w:r>
    </w:p>
    <w:p>
      <w:pPr>
        <w:spacing w:after="0" w:line="190"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3"/>
          <w:szCs w:val="13"/>
          <w:b w:val="1"/>
          <w:bCs w:val="1"/>
          <w:color w:val="auto"/>
        </w:rPr>
        <w:t>Dissenters’ Rights of Appraisal and Payment</w:t>
      </w:r>
    </w:p>
    <w:p>
      <w:pPr>
        <w:spacing w:after="0" w:line="96" w:lineRule="exact"/>
        <w:rPr>
          <w:sz w:val="20"/>
          <w:szCs w:val="20"/>
          <w:color w:val="auto"/>
        </w:rPr>
      </w:pPr>
    </w:p>
    <w:p>
      <w:pPr>
        <w:ind w:left="1540" w:right="639" w:firstLine="329"/>
        <w:spacing w:after="0" w:line="268" w:lineRule="auto"/>
        <w:rPr>
          <w:sz w:val="20"/>
          <w:szCs w:val="20"/>
          <w:color w:val="auto"/>
        </w:rPr>
      </w:pPr>
      <w:r>
        <w:rPr>
          <w:rFonts w:ascii="Times New Roman" w:cs="Times New Roman" w:eastAsia="Times New Roman" w:hAnsi="Times New Roman"/>
          <w:sz w:val="13"/>
          <w:szCs w:val="13"/>
          <w:color w:val="auto"/>
        </w:rPr>
        <w:t>Under the DGCL, with certain exceptions, including the circumstances where the Shares are, at the effective date of a merger or consolidation, either listed on a national securities exchange or held of record by more than 2,000 holders, the Company’s stockholders will have appraisal rights in connection with a merger or consolidation the Company. Pursuant to the DGCL, stockholders who properly request and perfect appraisal rights in connection with such merger or consolidation will have the right to receive payment of the fair value of their shares as determined by the Delaware Court of Chancery.</w:t>
      </w:r>
    </w:p>
    <w:p>
      <w:pPr>
        <w:spacing w:after="0" w:line="20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3"/>
          <w:szCs w:val="13"/>
          <w:b w:val="1"/>
          <w:bCs w:val="1"/>
          <w:color w:val="auto"/>
        </w:rPr>
        <w:t>Stockholders’ Derivative Actions</w:t>
      </w:r>
    </w:p>
    <w:p>
      <w:pPr>
        <w:spacing w:after="0" w:line="96" w:lineRule="exact"/>
        <w:rPr>
          <w:sz w:val="20"/>
          <w:szCs w:val="20"/>
          <w:color w:val="auto"/>
        </w:rPr>
      </w:pPr>
    </w:p>
    <w:p>
      <w:pPr>
        <w:ind w:left="1540" w:right="459" w:firstLine="329"/>
        <w:spacing w:after="0" w:line="297" w:lineRule="auto"/>
        <w:rPr>
          <w:sz w:val="20"/>
          <w:szCs w:val="20"/>
          <w:color w:val="auto"/>
        </w:rPr>
      </w:pPr>
      <w:r>
        <w:rPr>
          <w:rFonts w:ascii="Times New Roman" w:cs="Times New Roman" w:eastAsia="Times New Roman" w:hAnsi="Times New Roman"/>
          <w:sz w:val="13"/>
          <w:szCs w:val="13"/>
          <w:color w:val="auto"/>
        </w:rPr>
        <w:t>Under the DGCL, any of the Company’s stockholders may bring an action in the Company’s name to procure a judgment in the Company’s favor, also known as a derivative action, provided that the stockholder</w:t>
      </w:r>
    </w:p>
    <w:p>
      <w:pPr>
        <w:spacing w:after="0" w:line="6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14</w:t>
      </w:r>
    </w:p>
    <w:p>
      <w:pPr>
        <w:sectPr>
          <w:pgSz w:w="11900" w:h="16838" w:orient="portrait"/>
          <w:cols w:equalWidth="0" w:num="1">
            <w:col w:w="10159"/>
          </w:cols>
          <w:pgMar w:left="300" w:top="375" w:right="1440"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5">
                      <a:extLst>
                        <a:ext uri="{28A0092B-C50C-407E-A947-70E740481C1C}"/>
                      </a:extLst>
                    </a:blip>
                    <a:srcRect/>
                    <a:stretch>
                      <a:fillRect/>
                    </a:stretch>
                  </pic:blipFill>
                  <pic:spPr bwMode="auto">
                    <a:xfrm>
                      <a:off x="0" y="0"/>
                      <a:ext cx="7205345" cy="31750"/>
                    </a:xfrm>
                    <a:prstGeom prst="rect">
                      <a:avLst/>
                    </a:prstGeom>
                    <a:noFill/>
                  </pic:spPr>
                </pic:pic>
              </a:graphicData>
            </a:graphic>
          </wp:anchor>
        </w:drawing>
        <w:t>Table of Contents</w:t>
      </w:r>
    </w:p>
    <w:p>
      <w:pPr>
        <w:spacing w:after="0" w:line="248" w:lineRule="exact"/>
        <w:rPr>
          <w:sz w:val="20"/>
          <w:szCs w:val="20"/>
          <w:color w:val="auto"/>
        </w:rPr>
      </w:pPr>
    </w:p>
    <w:p>
      <w:pPr>
        <w:ind w:left="1540" w:right="739"/>
        <w:spacing w:after="0" w:line="297" w:lineRule="auto"/>
        <w:rPr>
          <w:sz w:val="20"/>
          <w:szCs w:val="20"/>
          <w:color w:val="auto"/>
        </w:rPr>
      </w:pPr>
      <w:r>
        <w:rPr>
          <w:rFonts w:ascii="Times New Roman" w:cs="Times New Roman" w:eastAsia="Times New Roman" w:hAnsi="Times New Roman"/>
          <w:sz w:val="13"/>
          <w:szCs w:val="13"/>
          <w:color w:val="auto"/>
        </w:rPr>
        <w:t>bringing the action is a holder of Shares at the time of the transaction to which the action relates or such stockholder’s stock thereafter devolved by operation of law.</w:t>
      </w:r>
    </w:p>
    <w:p>
      <w:pPr>
        <w:spacing w:after="0" w:line="190"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3"/>
          <w:szCs w:val="13"/>
          <w:b w:val="1"/>
          <w:bCs w:val="1"/>
          <w:color w:val="auto"/>
        </w:rPr>
        <w:t>Exclusive Forum</w:t>
      </w:r>
    </w:p>
    <w:p>
      <w:pPr>
        <w:spacing w:after="0" w:line="96" w:lineRule="exact"/>
        <w:rPr>
          <w:sz w:val="20"/>
          <w:szCs w:val="20"/>
          <w:color w:val="auto"/>
        </w:rPr>
      </w:pPr>
    </w:p>
    <w:p>
      <w:pPr>
        <w:ind w:left="1540" w:right="439" w:firstLine="329"/>
        <w:spacing w:after="0" w:line="263" w:lineRule="auto"/>
        <w:rPr>
          <w:sz w:val="20"/>
          <w:szCs w:val="20"/>
          <w:color w:val="auto"/>
        </w:rPr>
      </w:pPr>
      <w:r>
        <w:rPr>
          <w:rFonts w:ascii="Times New Roman" w:cs="Times New Roman" w:eastAsia="Times New Roman" w:hAnsi="Times New Roman"/>
          <w:sz w:val="13"/>
          <w:szCs w:val="13"/>
          <w:color w:val="auto"/>
        </w:rPr>
        <w:t>The Amended and Restated Charter provides that unless the Company consents in writing to the selection of an alternative forum, the Court of Chancery in the State of Delaware (or, if the Court of Chancery does not have jurisdiction, the federal district court for the District of Delaware) shall be the sole and exclusive forum for any (i) derivative action or proceeding brought on the Company’s behalf, (ii) action asserting a claim of breach of a fiduciary duty owed by any of the Company’s directors, officers or other employees to it or its stockholders, (iii) action asserting a claim arising pursuant to any provision of the DGCL or the Amended and Restated Charter or Amended Bylaws, or (iv) action asserting a claim governed by the internal affairs doctrine. This provision does not apply to any actions arising under the Securities Act. Any person or entity purchasing or otherwise acquiring or holding any interest in any of the Company’s securities shall be deemed to have notice of and consented to the forum provisions in the Amended and Restated Charter. However, the enforceability of similar forum provisions in other companies’ certificates of incorporation has been challenged in legal proceedings, and it is possible that a court could find these types of provisions to be unenforceable.</w:t>
      </w:r>
    </w:p>
    <w:p>
      <w:pPr>
        <w:spacing w:after="0" w:line="215"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3"/>
          <w:szCs w:val="13"/>
          <w:b w:val="1"/>
          <w:bCs w:val="1"/>
          <w:color w:val="auto"/>
        </w:rPr>
        <w:t>Limitations on Liability and Indemnification of Officers and Directors</w:t>
      </w:r>
    </w:p>
    <w:p>
      <w:pPr>
        <w:spacing w:after="0" w:line="96" w:lineRule="exact"/>
        <w:rPr>
          <w:sz w:val="20"/>
          <w:szCs w:val="20"/>
          <w:color w:val="auto"/>
        </w:rPr>
      </w:pPr>
    </w:p>
    <w:p>
      <w:pPr>
        <w:ind w:left="1540" w:right="459" w:firstLine="329"/>
        <w:spacing w:after="0" w:line="264" w:lineRule="auto"/>
        <w:rPr>
          <w:sz w:val="20"/>
          <w:szCs w:val="20"/>
          <w:color w:val="auto"/>
        </w:rPr>
      </w:pPr>
      <w:r>
        <w:rPr>
          <w:rFonts w:ascii="Times New Roman" w:cs="Times New Roman" w:eastAsia="Times New Roman" w:hAnsi="Times New Roman"/>
          <w:sz w:val="13"/>
          <w:szCs w:val="13"/>
          <w:color w:val="auto"/>
        </w:rPr>
        <w:t>The DGCL authorizes corporations to limit or eliminate the personal liability of directors and officers to corporations and their stockholders for monetary damages for breaches of directors’ and officers’ fiduciary duties, subject to certain exceptions. The Amended and Restated Charter includes a provision that eliminates the personal liability of directors and officers for monetary damages to the corporation or its stockholders for any breach of fiduciary duty as a director or an officer. The effect of these provisions is to eliminate the Company’s rights and those of the Company’s stockholders, through stockholders’ derivative suits on the Company’s behalf, to recover monetary damages from a director or an officer for breach of fiduciary duty as a director or an officer, including breaches resulting from grossly negligent behavior. However, exculpation will not apply to any breaches of a director’s or officer’s duty of loyalty, acts or omissions not in good faith or that involve intentional misconduct or a knowing violation of law, or for any transaction from which such director or officer derived an improper personal benefit.</w:t>
      </w:r>
    </w:p>
    <w:p>
      <w:pPr>
        <w:spacing w:after="0" w:line="136" w:lineRule="exact"/>
        <w:rPr>
          <w:sz w:val="20"/>
          <w:szCs w:val="20"/>
          <w:color w:val="auto"/>
        </w:rPr>
      </w:pPr>
    </w:p>
    <w:p>
      <w:pPr>
        <w:ind w:left="1540" w:right="599" w:firstLine="329"/>
        <w:spacing w:after="0" w:line="271" w:lineRule="auto"/>
        <w:rPr>
          <w:sz w:val="20"/>
          <w:szCs w:val="20"/>
          <w:color w:val="auto"/>
        </w:rPr>
      </w:pPr>
      <w:r>
        <w:rPr>
          <w:rFonts w:ascii="Times New Roman" w:cs="Times New Roman" w:eastAsia="Times New Roman" w:hAnsi="Times New Roman"/>
          <w:sz w:val="13"/>
          <w:szCs w:val="13"/>
          <w:color w:val="auto"/>
        </w:rPr>
        <w:t>The Amended and Restated Charter generally provides that the Company must defend, indemnify and advance expenses to the Company’s directors and officers to the fullest extent permitted or required by the DGCL. The Company may also be expressly authorized to carry directors’ and officers’ liability insurance providing indemnification for its directors, officers and certain employees for some liabilities. The Company believes that these indemnification and advancement provisions and insurance are useful to attract and retain qualified directors and executive officers.</w:t>
      </w:r>
    </w:p>
    <w:p>
      <w:pPr>
        <w:spacing w:after="0" w:line="131" w:lineRule="exact"/>
        <w:rPr>
          <w:sz w:val="20"/>
          <w:szCs w:val="20"/>
          <w:color w:val="auto"/>
        </w:rPr>
      </w:pPr>
    </w:p>
    <w:p>
      <w:pPr>
        <w:ind w:left="1540" w:right="479" w:firstLine="329"/>
        <w:spacing w:after="0" w:line="271" w:lineRule="auto"/>
        <w:rPr>
          <w:sz w:val="20"/>
          <w:szCs w:val="20"/>
          <w:color w:val="auto"/>
        </w:rPr>
      </w:pPr>
      <w:r>
        <w:rPr>
          <w:rFonts w:ascii="Times New Roman" w:cs="Times New Roman" w:eastAsia="Times New Roman" w:hAnsi="Times New Roman"/>
          <w:sz w:val="13"/>
          <w:szCs w:val="13"/>
          <w:color w:val="auto"/>
        </w:rPr>
        <w:t>The limitation of liability, indemnification and advancement provisions in the Amended and Restated Charter and the Amended Bylaws may discourage stockholders from bringing a lawsuit against directors or officers for breach of their fiduciary duties. These provisions also may have the effect of reducing the likelihood of derivative litigation against directors and officers, even though such an action, if successful, might otherwise benefit Cibus, Inc. and its stockholders.</w:t>
      </w:r>
    </w:p>
    <w:p>
      <w:pPr>
        <w:spacing w:after="0" w:line="208"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3"/>
          <w:szCs w:val="13"/>
          <w:b w:val="1"/>
          <w:bCs w:val="1"/>
          <w:color w:val="auto"/>
        </w:rPr>
        <w:t>Transfer Agent and Registrar</w:t>
      </w:r>
    </w:p>
    <w:p>
      <w:pPr>
        <w:spacing w:after="0" w:line="96"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3"/>
          <w:szCs w:val="13"/>
          <w:color w:val="auto"/>
        </w:rPr>
        <w:t>The transfer agent and registrar for the Class A Common Stock is Broadridge Corporate Issuer Solutions, LLC. The transfer agent’s address is</w:t>
      </w:r>
    </w:p>
    <w:p>
      <w:pPr>
        <w:spacing w:after="0" w:line="24"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3"/>
          <w:szCs w:val="13"/>
          <w:color w:val="auto"/>
        </w:rPr>
        <w:t>1155 Long Island Avenue, Edgewood, NY 11717.</w:t>
      </w:r>
    </w:p>
    <w:p>
      <w:pPr>
        <w:spacing w:after="0" w:line="11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15</w:t>
      </w:r>
    </w:p>
    <w:p>
      <w:pPr>
        <w:sectPr>
          <w:pgSz w:w="11900" w:h="16838" w:orient="portrait"/>
          <w:cols w:equalWidth="0" w:num="1">
            <w:col w:w="10159"/>
          </w:cols>
          <w:pgMar w:left="300" w:top="375" w:right="1440"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6">
                      <a:extLst>
                        <a:ext uri="{28A0092B-C50C-407E-A947-70E740481C1C}"/>
                      </a:extLst>
                    </a:blip>
                    <a:srcRect/>
                    <a:stretch>
                      <a:fillRect/>
                    </a:stretch>
                  </pic:blipFill>
                  <pic:spPr bwMode="auto">
                    <a:xfrm>
                      <a:off x="0" y="0"/>
                      <a:ext cx="7205345" cy="31750"/>
                    </a:xfrm>
                    <a:prstGeom prst="rect">
                      <a:avLst/>
                    </a:prstGeom>
                    <a:noFill/>
                  </pic:spPr>
                </pic:pic>
              </a:graphicData>
            </a:graphic>
          </wp:anchor>
        </w:drawing>
        <w:t>Table of Contents</w:t>
      </w:r>
    </w:p>
    <w:p>
      <w:pPr>
        <w:spacing w:after="0" w:line="244"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3"/>
          <w:szCs w:val="13"/>
          <w:b w:val="1"/>
          <w:bCs w:val="1"/>
          <w:color w:val="auto"/>
        </w:rPr>
        <w:t>DESCRIPTION OF WARRANTS</w:t>
      </w:r>
    </w:p>
    <w:p>
      <w:pPr>
        <w:spacing w:after="0" w:line="173"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3"/>
          <w:szCs w:val="13"/>
          <w:b w:val="1"/>
          <w:bCs w:val="1"/>
          <w:color w:val="auto"/>
        </w:rPr>
        <w:t>2024 Common Warrants</w:t>
      </w:r>
    </w:p>
    <w:p>
      <w:pPr>
        <w:spacing w:after="0" w:line="96" w:lineRule="exact"/>
        <w:rPr>
          <w:sz w:val="20"/>
          <w:szCs w:val="20"/>
          <w:color w:val="auto"/>
        </w:rPr>
      </w:pPr>
    </w:p>
    <w:p>
      <w:pPr>
        <w:ind w:left="1540" w:right="419" w:firstLine="329"/>
        <w:spacing w:after="0" w:line="266" w:lineRule="auto"/>
        <w:rPr>
          <w:sz w:val="20"/>
          <w:szCs w:val="20"/>
          <w:color w:val="auto"/>
        </w:rPr>
      </w:pPr>
      <w:r>
        <w:rPr>
          <w:rFonts w:ascii="Times New Roman" w:cs="Times New Roman" w:eastAsia="Times New Roman" w:hAnsi="Times New Roman"/>
          <w:sz w:val="13"/>
          <w:szCs w:val="13"/>
          <w:color w:val="auto"/>
        </w:rPr>
        <w:t>The following is a summary of the material terms and provisions of the 2024 Common Warrants. This summary is subject to and qualified in its entirety by the form of 2024 Common Warrants and the form of the Warrant Amendment Agreement relating thereto, which were filed with the SEC as Exhibit 4.3 and Exhibit 4.4, respectively, to the Company’s Annual Report on Form 10-K filed with the SEC on March 17, 2026 and are incorporated by reference into the registration statement of which this prospectus forms a part. Investors should carefully review the terms and provisions of the form of 2024 Common Warrant for a complete description of the terms and conditions of the 2024 Common Warrants. All 2024 Common Warrants were issued in certificated form.</w:t>
      </w:r>
    </w:p>
    <w:p>
      <w:pPr>
        <w:spacing w:after="0" w:line="135" w:lineRule="exact"/>
        <w:rPr>
          <w:sz w:val="20"/>
          <w:szCs w:val="20"/>
          <w:color w:val="auto"/>
        </w:rPr>
      </w:pPr>
    </w:p>
    <w:p>
      <w:pPr>
        <w:ind w:left="1540" w:right="599" w:firstLine="329"/>
        <w:spacing w:after="0" w:line="265" w:lineRule="auto"/>
        <w:rPr>
          <w:sz w:val="20"/>
          <w:szCs w:val="20"/>
          <w:color w:val="auto"/>
        </w:rPr>
      </w:pPr>
      <w:r>
        <w:rPr>
          <w:rFonts w:ascii="Times New Roman" w:cs="Times New Roman" w:eastAsia="Times New Roman" w:hAnsi="Times New Roman"/>
          <w:sz w:val="13"/>
          <w:szCs w:val="13"/>
          <w:color w:val="auto"/>
        </w:rPr>
        <w:t>The 2024 Common Warrants represent the right to purchase 1,298,040 shares of Class A Common Stock. In connection with the offering of the 2025 Common Warrants and 2025 Pre-Funded Warrants, the Company entered into warrant amendment agreements (each, a “Warrant Amendment Agreement”) with certain holders of the 2024 Common Warrants to (i) reduce the exercise price of those 2024 Common Warrants to $2.50 per share,</w:t>
      </w:r>
    </w:p>
    <w:p>
      <w:pPr>
        <w:spacing w:after="0" w:line="1" w:lineRule="exact"/>
        <w:rPr>
          <w:sz w:val="20"/>
          <w:szCs w:val="20"/>
          <w:color w:val="auto"/>
        </w:rPr>
      </w:pPr>
    </w:p>
    <w:p>
      <w:pPr>
        <w:ind w:left="1540" w:right="419" w:hanging="8"/>
        <w:spacing w:after="0" w:line="262" w:lineRule="auto"/>
        <w:tabs>
          <w:tab w:leader="none" w:pos="1738" w:val="left"/>
        </w:tabs>
        <w:numPr>
          <w:ilvl w:val="0"/>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reduce the threshold for satisfaction of the trading condition in respect of the redemption provisions from $20.00 per share to $5.00 per share with a redemption notice period of 30 days, and (iii) extend the termination date of those 2024 Common Warrants held by those certain investors to five years following the issuance of the 2025 Common Warrants and 2025 Pre-Funded Warrants to such investors. The warrant amendment agreement with respect to Mr. Riggs, then an executive officer of the Company and a holder of 2024 Common Warrants, was conditioned on, and was not effective until, the trading day after the Company obtained certain approvals from its stockholders, which occurred on May 22, 2025. The 2024 Common Warrants which were not amended by a Warrant Amendment Agreement are referred to herein as the “Original 2024 Common Warrants” and the 2024 Common Warrants which have been amended by a Warrant Amendment Agreement are referred to herein as the “Amended 2024 Common Warrants.”</w:t>
      </w:r>
    </w:p>
    <w:p>
      <w:pPr>
        <w:spacing w:after="0" w:line="212"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3"/>
          <w:szCs w:val="13"/>
          <w:b w:val="1"/>
          <w:bCs w:val="1"/>
          <w:i w:val="1"/>
          <w:iCs w:val="1"/>
          <w:color w:val="auto"/>
        </w:rPr>
        <w:t>Exercisability</w:t>
      </w:r>
    </w:p>
    <w:p>
      <w:pPr>
        <w:spacing w:after="0" w:line="96" w:lineRule="exact"/>
        <w:rPr>
          <w:sz w:val="20"/>
          <w:szCs w:val="20"/>
          <w:color w:val="auto"/>
        </w:rPr>
      </w:pPr>
    </w:p>
    <w:p>
      <w:pPr>
        <w:ind w:left="1540" w:right="399" w:firstLine="329"/>
        <w:spacing w:after="0" w:line="268" w:lineRule="auto"/>
        <w:rPr>
          <w:sz w:val="20"/>
          <w:szCs w:val="20"/>
          <w:color w:val="auto"/>
        </w:rPr>
      </w:pPr>
      <w:r>
        <w:rPr>
          <w:rFonts w:ascii="Times New Roman" w:cs="Times New Roman" w:eastAsia="Times New Roman" w:hAnsi="Times New Roman"/>
          <w:sz w:val="13"/>
          <w:szCs w:val="13"/>
          <w:color w:val="auto"/>
        </w:rPr>
        <w:t>Each Common Warrant will be exercisable beginning on the date of issuance. The Original 2024 Common Warrants will expire five years from their date of issuance and the Amended 2024 Common Warrants will expire five years from the date the 2025 Common Warrants and 2025 Pre-Funded Warrants were issued to the respective investors, in each case unless earlier redeemed. The 2024 Common Warrants are exercisable, at the option of each holder, in whole or in part by delivering to the Company a duly executed exercise notice and payment in full for the number of shares of Class A Common Stock purchased upon such exercise, except in the case of a cashless exercise as discussed below.</w:t>
      </w:r>
    </w:p>
    <w:p>
      <w:pPr>
        <w:spacing w:after="0" w:line="133" w:lineRule="exact"/>
        <w:rPr>
          <w:sz w:val="20"/>
          <w:szCs w:val="20"/>
          <w:color w:val="auto"/>
        </w:rPr>
      </w:pPr>
    </w:p>
    <w:p>
      <w:pPr>
        <w:ind w:left="1540" w:right="899" w:firstLine="329"/>
        <w:spacing w:after="0" w:line="297" w:lineRule="auto"/>
        <w:rPr>
          <w:sz w:val="20"/>
          <w:szCs w:val="20"/>
          <w:color w:val="auto"/>
        </w:rPr>
      </w:pPr>
      <w:r>
        <w:rPr>
          <w:rFonts w:ascii="Times New Roman" w:cs="Times New Roman" w:eastAsia="Times New Roman" w:hAnsi="Times New Roman"/>
          <w:sz w:val="13"/>
          <w:szCs w:val="13"/>
          <w:color w:val="auto"/>
        </w:rPr>
        <w:t>The number of shares of Class A Common Stock issuable upon exercise of the 2024 Common Warrants is subject to adjustment in certain circumstances, including a stock split of, stock dividend on, or a subdivision, combination or recapitalization of the Class A Common Stock.</w:t>
      </w:r>
    </w:p>
    <w:p>
      <w:pPr>
        <w:spacing w:after="0" w:line="190"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3"/>
          <w:szCs w:val="13"/>
          <w:b w:val="1"/>
          <w:bCs w:val="1"/>
          <w:i w:val="1"/>
          <w:iCs w:val="1"/>
          <w:color w:val="auto"/>
        </w:rPr>
        <w:t>Cashless Exercise</w:t>
      </w:r>
    </w:p>
    <w:p>
      <w:pPr>
        <w:spacing w:after="0" w:line="96" w:lineRule="exact"/>
        <w:rPr>
          <w:sz w:val="20"/>
          <w:szCs w:val="20"/>
          <w:color w:val="auto"/>
        </w:rPr>
      </w:pPr>
    </w:p>
    <w:p>
      <w:pPr>
        <w:ind w:left="1540" w:right="419" w:firstLine="329"/>
        <w:spacing w:after="0" w:line="271" w:lineRule="auto"/>
        <w:rPr>
          <w:sz w:val="20"/>
          <w:szCs w:val="20"/>
          <w:color w:val="auto"/>
        </w:rPr>
      </w:pPr>
      <w:r>
        <w:rPr>
          <w:rFonts w:ascii="Times New Roman" w:cs="Times New Roman" w:eastAsia="Times New Roman" w:hAnsi="Times New Roman"/>
          <w:sz w:val="13"/>
          <w:szCs w:val="13"/>
          <w:color w:val="auto"/>
        </w:rPr>
        <w:t>If at the time of exercise there is no effective registration statement registering, or the prospectus contained therein is not available for the issuance or resale of the shares issuable upon exercise of the 2024 Common Warrant, the holder may exercise the 2024 Common Warrant on a cashless basis. When exercised on a cashless basis, a portion of the 2024 Common Warrant is cancelled in payment of the purchase price payable in respect of the number of shares of Class A Common Stock purchasable upon such exercise.</w:t>
      </w:r>
    </w:p>
    <w:p>
      <w:pPr>
        <w:spacing w:after="0" w:line="208"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3"/>
          <w:szCs w:val="13"/>
          <w:b w:val="1"/>
          <w:bCs w:val="1"/>
          <w:i w:val="1"/>
          <w:iCs w:val="1"/>
          <w:color w:val="auto"/>
        </w:rPr>
        <w:t>Exercise Price</w:t>
      </w:r>
    </w:p>
    <w:p>
      <w:pPr>
        <w:spacing w:after="0" w:line="96" w:lineRule="exact"/>
        <w:rPr>
          <w:sz w:val="20"/>
          <w:szCs w:val="20"/>
          <w:color w:val="auto"/>
        </w:rPr>
      </w:pPr>
    </w:p>
    <w:p>
      <w:pPr>
        <w:ind w:left="1540" w:right="759" w:firstLine="329"/>
        <w:spacing w:after="0" w:line="297" w:lineRule="auto"/>
        <w:rPr>
          <w:sz w:val="20"/>
          <w:szCs w:val="20"/>
          <w:color w:val="auto"/>
        </w:rPr>
      </w:pPr>
      <w:r>
        <w:rPr>
          <w:rFonts w:ascii="Times New Roman" w:cs="Times New Roman" w:eastAsia="Times New Roman" w:hAnsi="Times New Roman"/>
          <w:sz w:val="13"/>
          <w:szCs w:val="13"/>
          <w:color w:val="auto"/>
        </w:rPr>
        <w:t>Each 2024 Common Warrant represents the right to purchase one share of Class A Common Stock at an exercise price of $2.50 per share, in respect of the Amended 2024 Common Warrants, or $10.00 per share, in the</w:t>
      </w:r>
    </w:p>
    <w:p>
      <w:pPr>
        <w:spacing w:after="0" w:line="6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16</w:t>
      </w:r>
    </w:p>
    <w:p>
      <w:pPr>
        <w:sectPr>
          <w:pgSz w:w="11900" w:h="16838" w:orient="portrait"/>
          <w:cols w:equalWidth="0" w:num="1">
            <w:col w:w="10159"/>
          </w:cols>
          <w:pgMar w:left="300" w:top="375" w:right="1440"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7">
                      <a:extLst>
                        <a:ext uri="{28A0092B-C50C-407E-A947-70E740481C1C}"/>
                      </a:extLst>
                    </a:blip>
                    <a:srcRect/>
                    <a:stretch>
                      <a:fillRect/>
                    </a:stretch>
                  </pic:blipFill>
                  <pic:spPr bwMode="auto">
                    <a:xfrm>
                      <a:off x="0" y="0"/>
                      <a:ext cx="7205345" cy="31750"/>
                    </a:xfrm>
                    <a:prstGeom prst="rect">
                      <a:avLst/>
                    </a:prstGeom>
                    <a:noFill/>
                  </pic:spPr>
                </pic:pic>
              </a:graphicData>
            </a:graphic>
          </wp:anchor>
        </w:drawing>
        <w:t>Table of Contents</w:t>
      </w:r>
    </w:p>
    <w:p>
      <w:pPr>
        <w:spacing w:after="0" w:line="248" w:lineRule="exact"/>
        <w:rPr>
          <w:sz w:val="20"/>
          <w:szCs w:val="20"/>
          <w:color w:val="auto"/>
        </w:rPr>
      </w:pPr>
    </w:p>
    <w:p>
      <w:pPr>
        <w:ind w:left="1540" w:right="439"/>
        <w:spacing w:after="0" w:line="247" w:lineRule="auto"/>
        <w:rPr>
          <w:sz w:val="20"/>
          <w:szCs w:val="20"/>
          <w:color w:val="auto"/>
        </w:rPr>
      </w:pPr>
      <w:r>
        <w:rPr>
          <w:rFonts w:ascii="Times New Roman" w:cs="Times New Roman" w:eastAsia="Times New Roman" w:hAnsi="Times New Roman"/>
          <w:sz w:val="13"/>
          <w:szCs w:val="13"/>
          <w:color w:val="auto"/>
        </w:rPr>
        <w:t>case of the Original 2024 Common Warrants. Subject to limited exceptions, a holder of 2024 Common Warrants does not have the right to exercise any portion of the 2024 Common Warrant to the extent that, after giving effect to the exercise, the holder, together with its affiliates, and any other person acting as a group together with the holder or any of its affiliates, would beneficially own in excess of 4.99% or 9.99%, as applicable, or in respect of the 2024 Common Warrants held by Rory Riggs, 19.99%, of the number of shares of Class A Common Stock outstanding immediately after giving effect to its exercise (the “2024 Beneficial Ownership Limitation”). The holder, upon notice to the Company, may increase or decrease the 2024 Beneficial Ownership Limitation provisions of the 2024 Common Warrant, provided that in no event shall the limitation exceed 9.99%, or in the case of a 2024 Common Warrant held by Rory Riggs, 19.99%, of the number of shares of Class A Common Stock outstanding immediately after giving effect to the exercise of the 2024 Common Warrant. Any increase in the 2024 Beneficial Ownership Limitation will not be effective until the 61</w:t>
      </w:r>
      <w:r>
        <w:rPr>
          <w:rFonts w:ascii="Times New Roman" w:cs="Times New Roman" w:eastAsia="Times New Roman" w:hAnsi="Times New Roman"/>
          <w:sz w:val="20"/>
          <w:szCs w:val="20"/>
          <w:color w:val="auto"/>
          <w:vertAlign w:val="superscript"/>
        </w:rPr>
        <w:t>st</w:t>
      </w:r>
      <w:r>
        <w:rPr>
          <w:rFonts w:ascii="Times New Roman" w:cs="Times New Roman" w:eastAsia="Times New Roman" w:hAnsi="Times New Roman"/>
          <w:sz w:val="13"/>
          <w:szCs w:val="13"/>
          <w:color w:val="auto"/>
        </w:rPr>
        <w:t xml:space="preserve"> day after such notice is delivered to the Company.</w:t>
      </w:r>
    </w:p>
    <w:p>
      <w:pPr>
        <w:spacing w:after="0" w:line="222"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3"/>
          <w:szCs w:val="13"/>
          <w:b w:val="1"/>
          <w:bCs w:val="1"/>
          <w:i w:val="1"/>
          <w:iCs w:val="1"/>
          <w:color w:val="auto"/>
        </w:rPr>
        <w:t>Certain Adjustments</w:t>
      </w:r>
    </w:p>
    <w:p>
      <w:pPr>
        <w:spacing w:after="0" w:line="96" w:lineRule="exact"/>
        <w:rPr>
          <w:sz w:val="20"/>
          <w:szCs w:val="20"/>
          <w:color w:val="auto"/>
        </w:rPr>
      </w:pPr>
    </w:p>
    <w:p>
      <w:pPr>
        <w:ind w:left="1540" w:right="499" w:firstLine="329"/>
        <w:spacing w:after="0" w:line="278" w:lineRule="auto"/>
        <w:rPr>
          <w:sz w:val="20"/>
          <w:szCs w:val="20"/>
          <w:color w:val="auto"/>
        </w:rPr>
      </w:pPr>
      <w:r>
        <w:rPr>
          <w:rFonts w:ascii="Times New Roman" w:cs="Times New Roman" w:eastAsia="Times New Roman" w:hAnsi="Times New Roman"/>
          <w:sz w:val="13"/>
          <w:szCs w:val="13"/>
          <w:color w:val="auto"/>
        </w:rPr>
        <w:t>The exercise price and number of shares of Class A Common Stock issuable upon exercise of the 2024 Common Warrants may be proportionally adjusted upon the occurrence of specific events, including stock dividends, stock splits, combinations and certain recapitalizations of the Class A Common Stock.</w:t>
      </w:r>
    </w:p>
    <w:p>
      <w:pPr>
        <w:spacing w:after="0" w:line="202"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3"/>
          <w:szCs w:val="13"/>
          <w:b w:val="1"/>
          <w:bCs w:val="1"/>
          <w:i w:val="1"/>
          <w:iCs w:val="1"/>
          <w:color w:val="auto"/>
        </w:rPr>
        <w:t>Rights Upon Distribution of Assets; Purchase Rights</w:t>
      </w:r>
    </w:p>
    <w:p>
      <w:pPr>
        <w:spacing w:after="0" w:line="96" w:lineRule="exact"/>
        <w:rPr>
          <w:sz w:val="20"/>
          <w:szCs w:val="20"/>
          <w:color w:val="auto"/>
        </w:rPr>
      </w:pPr>
    </w:p>
    <w:p>
      <w:pPr>
        <w:ind w:left="1540" w:right="419" w:firstLine="329"/>
        <w:spacing w:after="0" w:line="266" w:lineRule="auto"/>
        <w:rPr>
          <w:sz w:val="20"/>
          <w:szCs w:val="20"/>
          <w:color w:val="auto"/>
        </w:rPr>
      </w:pPr>
      <w:r>
        <w:rPr>
          <w:rFonts w:ascii="Times New Roman" w:cs="Times New Roman" w:eastAsia="Times New Roman" w:hAnsi="Times New Roman"/>
          <w:sz w:val="13"/>
          <w:szCs w:val="13"/>
          <w:color w:val="auto"/>
        </w:rPr>
        <w:t>If the Company distributes assets, including cash dividends, any securities (other than a stock dividend of Class A Common Stock, described under “—Certain Adjustments”) or other property, to its stockholders, the 2024 Common Warrant holders shall be entitled to participate in such distribution to the same extent that such holder would have participated had the holder held the number of shares of Class A Common Stock acquirable upon complete exercise of its 2024 Common Warrant. If such distribution would cause such holder to exceed the 2024 Beneficial Ownership Limitation, the holder will not be entitled to participate in the distribution to such extent that the 2024 Beneficial Ownership Limitation would be exceeded and the distribution will be held in abeyance for the holder’s benefit until such time or times, if ever, as would not result in the holder exceeding the 2024 Beneficial Ownership Limitation.</w:t>
      </w:r>
    </w:p>
    <w:p>
      <w:pPr>
        <w:spacing w:after="0" w:line="296" w:lineRule="exact"/>
        <w:rPr>
          <w:sz w:val="20"/>
          <w:szCs w:val="20"/>
          <w:color w:val="auto"/>
        </w:rPr>
      </w:pPr>
    </w:p>
    <w:p>
      <w:pPr>
        <w:ind w:left="1540" w:right="479" w:firstLine="329"/>
        <w:spacing w:after="0" w:line="265" w:lineRule="auto"/>
        <w:rPr>
          <w:sz w:val="20"/>
          <w:szCs w:val="20"/>
          <w:color w:val="auto"/>
        </w:rPr>
      </w:pPr>
      <w:r>
        <w:rPr>
          <w:rFonts w:ascii="Times New Roman" w:cs="Times New Roman" w:eastAsia="Times New Roman" w:hAnsi="Times New Roman"/>
          <w:sz w:val="13"/>
          <w:szCs w:val="13"/>
          <w:color w:val="auto"/>
        </w:rPr>
        <w:t>If the Company grants, issues or sells pro rata to its stockholders, any options, convertible securities or rights to purchase stock, warrants, securities or other property, the 2024 Common Warrant holders will be entitled to acquire such purchase rights to the same extent such holder would have acquired had the holder held the number of shares of Class A Common Stock acquirable upon complete exercise of its 2024 Common Warrant. If such right to participate in any such purchase rights would cause such holder to exceed the 2024 Beneficial Ownership Limitation, then the holder will not be entitled to participate in such purchase right to such extent that the 2024 Beneficial Ownership Limitation would be exceeded by such purchase right, and to the extent necessary to prevent such occurrence, will be held in abeyance for the holder’s benefit until such time or times, if ever, as would not result in the holder exceeding the 2024 Beneficial Ownership Limitation.</w:t>
      </w:r>
    </w:p>
    <w:p>
      <w:pPr>
        <w:spacing w:after="0" w:line="211"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3"/>
          <w:szCs w:val="13"/>
          <w:b w:val="1"/>
          <w:bCs w:val="1"/>
          <w:i w:val="1"/>
          <w:iCs w:val="1"/>
          <w:color w:val="auto"/>
        </w:rPr>
        <w:t>Transferability</w:t>
      </w:r>
    </w:p>
    <w:p>
      <w:pPr>
        <w:spacing w:after="0" w:line="96" w:lineRule="exact"/>
        <w:rPr>
          <w:sz w:val="20"/>
          <w:szCs w:val="20"/>
          <w:color w:val="auto"/>
        </w:rPr>
      </w:pPr>
    </w:p>
    <w:p>
      <w:pPr>
        <w:jc w:val="both"/>
        <w:ind w:left="1540" w:right="599" w:firstLine="329"/>
        <w:spacing w:after="0" w:line="278" w:lineRule="auto"/>
        <w:rPr>
          <w:sz w:val="20"/>
          <w:szCs w:val="20"/>
          <w:color w:val="auto"/>
        </w:rPr>
      </w:pPr>
      <w:r>
        <w:rPr>
          <w:rFonts w:ascii="Times New Roman" w:cs="Times New Roman" w:eastAsia="Times New Roman" w:hAnsi="Times New Roman"/>
          <w:sz w:val="13"/>
          <w:szCs w:val="13"/>
          <w:color w:val="auto"/>
        </w:rPr>
        <w:t>Subject to applicable laws and restrictions, a holder may transfer a 2024 Common Warrant upon surrender of the 2024 Common Warrant to the Company with a duly executed assignment in the form attached to the 2024 Common Warrant. The transferring holder will be responsible for any tax liability that may arise as a result of the transfer.</w:t>
      </w:r>
    </w:p>
    <w:p>
      <w:pPr>
        <w:spacing w:after="0" w:line="202"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3"/>
          <w:szCs w:val="13"/>
          <w:b w:val="1"/>
          <w:bCs w:val="1"/>
          <w:i w:val="1"/>
          <w:iCs w:val="1"/>
          <w:color w:val="auto"/>
        </w:rPr>
        <w:t>No Listing</w:t>
      </w:r>
    </w:p>
    <w:p>
      <w:pPr>
        <w:spacing w:after="0" w:line="96" w:lineRule="exact"/>
        <w:rPr>
          <w:sz w:val="20"/>
          <w:szCs w:val="20"/>
          <w:color w:val="auto"/>
        </w:rPr>
      </w:pPr>
    </w:p>
    <w:p>
      <w:pPr>
        <w:ind w:left="1540" w:right="439" w:firstLine="329"/>
        <w:spacing w:after="0" w:line="278" w:lineRule="auto"/>
        <w:rPr>
          <w:sz w:val="20"/>
          <w:szCs w:val="20"/>
          <w:color w:val="auto"/>
        </w:rPr>
      </w:pPr>
      <w:r>
        <w:rPr>
          <w:rFonts w:ascii="Times New Roman" w:cs="Times New Roman" w:eastAsia="Times New Roman" w:hAnsi="Times New Roman"/>
          <w:sz w:val="13"/>
          <w:szCs w:val="13"/>
          <w:color w:val="auto"/>
        </w:rPr>
        <w:t>There is no established public trading market for the 2024 Common Warrants and the Company does not expect a market to develop. In addition, the Company does not intend to apply for listing of the 2024 Common Warrants on any securities exchange or trading system. Without an active market, the liquidity of the 2024 Common Warrants will be limited.</w:t>
      </w:r>
    </w:p>
    <w:p>
      <w:pPr>
        <w:spacing w:after="0" w:line="7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17</w:t>
      </w:r>
    </w:p>
    <w:p>
      <w:pPr>
        <w:sectPr>
          <w:pgSz w:w="11900" w:h="16838" w:orient="portrait"/>
          <w:cols w:equalWidth="0" w:num="1">
            <w:col w:w="10159"/>
          </w:cols>
          <w:pgMar w:left="300" w:top="375" w:right="1440"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8">
                      <a:extLst>
                        <a:ext uri="{28A0092B-C50C-407E-A947-70E740481C1C}"/>
                      </a:extLst>
                    </a:blip>
                    <a:srcRect/>
                    <a:stretch>
                      <a:fillRect/>
                    </a:stretch>
                  </pic:blipFill>
                  <pic:spPr bwMode="auto">
                    <a:xfrm>
                      <a:off x="0" y="0"/>
                      <a:ext cx="7205345" cy="31750"/>
                    </a:xfrm>
                    <a:prstGeom prst="rect">
                      <a:avLst/>
                    </a:prstGeom>
                    <a:noFill/>
                  </pic:spPr>
                </pic:pic>
              </a:graphicData>
            </a:graphic>
          </wp:anchor>
        </w:drawing>
        <w:t>Table of Contents</w:t>
      </w:r>
    </w:p>
    <w:p>
      <w:pPr>
        <w:spacing w:after="0" w:line="244"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3"/>
          <w:szCs w:val="13"/>
          <w:b w:val="1"/>
          <w:bCs w:val="1"/>
          <w:i w:val="1"/>
          <w:iCs w:val="1"/>
          <w:color w:val="auto"/>
        </w:rPr>
        <w:t>Rights as Stockholder</w:t>
      </w:r>
    </w:p>
    <w:p>
      <w:pPr>
        <w:spacing w:after="0" w:line="96" w:lineRule="exact"/>
        <w:rPr>
          <w:sz w:val="20"/>
          <w:szCs w:val="20"/>
          <w:color w:val="auto"/>
        </w:rPr>
      </w:pPr>
    </w:p>
    <w:p>
      <w:pPr>
        <w:ind w:left="1540" w:right="659" w:firstLine="329"/>
        <w:spacing w:after="0" w:line="278" w:lineRule="auto"/>
        <w:rPr>
          <w:sz w:val="20"/>
          <w:szCs w:val="20"/>
          <w:color w:val="auto"/>
        </w:rPr>
      </w:pPr>
      <w:r>
        <w:rPr>
          <w:rFonts w:ascii="Times New Roman" w:cs="Times New Roman" w:eastAsia="Times New Roman" w:hAnsi="Times New Roman"/>
          <w:sz w:val="13"/>
          <w:szCs w:val="13"/>
          <w:color w:val="auto"/>
        </w:rPr>
        <w:t>Except as otherwise provided in the 2024 Common Warrants or by virtue of such holder’s ownership of shares of Class A Common Stock, the holder of a 2024 Common Warrant, solely in such holder’s capacity as a holder of a 2024 Common Warrant, will not be entitled to vote, to receive dividends, or to any of the other rights of stockholders.</w:t>
      </w:r>
    </w:p>
    <w:p>
      <w:pPr>
        <w:spacing w:after="0" w:line="202"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3"/>
          <w:szCs w:val="13"/>
          <w:b w:val="1"/>
          <w:bCs w:val="1"/>
          <w:i w:val="1"/>
          <w:iCs w:val="1"/>
          <w:color w:val="auto"/>
        </w:rPr>
        <w:t>Fundamental Transactions</w:t>
      </w:r>
    </w:p>
    <w:p>
      <w:pPr>
        <w:spacing w:after="0" w:line="96" w:lineRule="exact"/>
        <w:rPr>
          <w:sz w:val="20"/>
          <w:szCs w:val="20"/>
          <w:color w:val="auto"/>
        </w:rPr>
      </w:pPr>
    </w:p>
    <w:p>
      <w:pPr>
        <w:ind w:left="1540" w:right="439" w:firstLine="329"/>
        <w:spacing w:after="0" w:line="262" w:lineRule="auto"/>
        <w:rPr>
          <w:sz w:val="20"/>
          <w:szCs w:val="20"/>
          <w:color w:val="auto"/>
        </w:rPr>
      </w:pPr>
      <w:r>
        <w:rPr>
          <w:rFonts w:ascii="Times New Roman" w:cs="Times New Roman" w:eastAsia="Times New Roman" w:hAnsi="Times New Roman"/>
          <w:sz w:val="13"/>
          <w:szCs w:val="13"/>
          <w:color w:val="auto"/>
        </w:rPr>
        <w:t>Subject to certain limitations set forth in the 2024 Common Warrant, in the event the Company (or any of its subsidiaries) effects certain mergers, consolidations, sales or other disposition of substantially all of its assets, tender or exchange offers, reclassifications or share exchanges in which the Class A Common Stock is effectively converted into or exchanged for other securities, cash or property, the Company consummates a business combination in which another person acquires 50% of the outstanding voting power of all classes of equity of the Company, or any person or group becomes the beneficial owner of more than 50% of the aggregate voting power of all classes of equity of the Company, then, upon any subsequent exercise of the 2024 Common Warrants, the holders of the 2024 Common Warrants will have the right to receive any shares of the acquiring corporation or other consideration it would have been entitled to receive if it had been a holder of the number of shares of Class A Common Stock then issuable upon exercise of the 2024 Common Warrants. Additionally, as more fully described in the 2024 Common Warrants, in the event of certain fundamental transactions and subject to certain limitations set forth in the 2024 Common Warrant, the holders of the 2024 Common Warrants will be entitled to receive consideration in an amount equal to the Black Scholes value (as defined in the 2024 Common Warrant) of the 2024 Common Warrants on the date of the consummation of such fundamental transaction.</w:t>
      </w:r>
    </w:p>
    <w:p>
      <w:pPr>
        <w:spacing w:after="0" w:line="380"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3"/>
          <w:szCs w:val="13"/>
          <w:b w:val="1"/>
          <w:bCs w:val="1"/>
          <w:i w:val="1"/>
          <w:iCs w:val="1"/>
          <w:color w:val="auto"/>
        </w:rPr>
        <w:t>Redemption at the Option of the Company</w:t>
      </w:r>
    </w:p>
    <w:p>
      <w:pPr>
        <w:spacing w:after="0" w:line="96" w:lineRule="exact"/>
        <w:rPr>
          <w:sz w:val="20"/>
          <w:szCs w:val="20"/>
          <w:color w:val="auto"/>
        </w:rPr>
      </w:pPr>
    </w:p>
    <w:p>
      <w:pPr>
        <w:jc w:val="right"/>
        <w:ind w:right="399"/>
        <w:spacing w:after="0"/>
        <w:rPr>
          <w:sz w:val="20"/>
          <w:szCs w:val="20"/>
          <w:color w:val="auto"/>
        </w:rPr>
      </w:pPr>
      <w:r>
        <w:rPr>
          <w:rFonts w:ascii="Times New Roman" w:cs="Times New Roman" w:eastAsia="Times New Roman" w:hAnsi="Times New Roman"/>
          <w:sz w:val="13"/>
          <w:szCs w:val="13"/>
          <w:color w:val="auto"/>
        </w:rPr>
        <w:t>The 2024 Common Warrants may be redeemed at the Company’s option, in whole or in part on a pro rata basis, at any time upon the occurrence of</w:t>
      </w:r>
    </w:p>
    <w:p>
      <w:pPr>
        <w:spacing w:after="0" w:line="24" w:lineRule="exact"/>
        <w:rPr>
          <w:sz w:val="20"/>
          <w:szCs w:val="20"/>
          <w:color w:val="auto"/>
        </w:rPr>
      </w:pPr>
    </w:p>
    <w:p>
      <w:pPr>
        <w:ind w:left="1540" w:right="419" w:hanging="8"/>
        <w:spacing w:after="0" w:line="260" w:lineRule="auto"/>
        <w:tabs>
          <w:tab w:leader="none" w:pos="1700" w:val="left"/>
        </w:tabs>
        <w:numPr>
          <w:ilvl w:val="0"/>
          <w:numId w:val="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Company’s public announcement of an operational Soybean platform (the “Announcement”) and (ii) the first date on which the closing price of the Class A Common Stock on Nasdaq has equaled or exceeded $5.00 per share, in respect of the Amended 2024 Common Warrants, or $20.00 per share, in respect of the Original 2024 Common Warrants, for fifteen consecutive trading days (the “2024 Trading Condition”) ((i) and (ii) collectively referred to as the “2024 Redemption Conditions”), at a redemption price of $0.0001 per 2024 Common Warrant (the “2024 Redemption Price”). As more fully described in the 2024 Common Warrants, the Company shall provide prompt notice to the holders upon Announcement (the “First Notice”) and upon meeting the 2024 Redemption Conditions (the “Second Notice”). Following or concurrently with the delivery of the Second Notice, the Company may, at its option, notify holders of its election to redeem the 2024 Common Warrants (the “2024 Redemption Notice”), which 2024 Redemption Notice shall be delivered no less than 30 calendar days prior to the applicable redemption date, in respect of the Amended 2024 Common Warrants, and which notice shall be sent promptly to holders, in respect of the Original 2024 Common Warrants. From and after the date on which the 2024 Common Warrants are redeemed, holders of redeemed 2024 Common Warrants will have no further rights pursuant to the 2024 Common Warrants except to receive payment of the 2024 Redemption Price upon surrender of their warrant certificates and will be deemed cancelled and void.</w:t>
      </w:r>
    </w:p>
    <w:p>
      <w:pPr>
        <w:spacing w:after="0" w:line="141" w:lineRule="exact"/>
        <w:rPr>
          <w:sz w:val="20"/>
          <w:szCs w:val="20"/>
          <w:color w:val="auto"/>
        </w:rPr>
      </w:pPr>
    </w:p>
    <w:p>
      <w:pPr>
        <w:ind w:left="1540" w:right="479" w:firstLine="329"/>
        <w:spacing w:after="0" w:line="268" w:lineRule="auto"/>
        <w:rPr>
          <w:sz w:val="20"/>
          <w:szCs w:val="20"/>
          <w:color w:val="auto"/>
        </w:rPr>
      </w:pPr>
      <w:r>
        <w:rPr>
          <w:rFonts w:ascii="Times New Roman" w:cs="Times New Roman" w:eastAsia="Times New Roman" w:hAnsi="Times New Roman"/>
          <w:sz w:val="13"/>
          <w:szCs w:val="13"/>
          <w:color w:val="auto"/>
        </w:rPr>
        <w:t>Amended 2024 Common Warrants noticed for redemption may not be exercised at any time after the 30th calendar day following the date on which the 2024 Redemption Notice shall have been given by the Company and prior to the applicable redemption date, unless the Company defaults on payment of the 2024 Redemption Price on such redemption date. Original 2024 Common Warrants noticed for redemption may not be exercised at any time after notice of redemption shall have been given by the Company and prior to the applicable redemption date, unless the Company defaults on payment of the 2024 Redemption Price on such redemption date.</w:t>
      </w:r>
    </w:p>
    <w:p>
      <w:pPr>
        <w:spacing w:after="0" w:line="8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18</w:t>
      </w:r>
    </w:p>
    <w:p>
      <w:pPr>
        <w:sectPr>
          <w:pgSz w:w="11900" w:h="16838" w:orient="portrait"/>
          <w:cols w:equalWidth="0" w:num="1">
            <w:col w:w="10159"/>
          </w:cols>
          <w:pgMar w:left="300" w:top="375" w:right="1440"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9">
                      <a:extLst>
                        <a:ext uri="{28A0092B-C50C-407E-A947-70E740481C1C}"/>
                      </a:extLst>
                    </a:blip>
                    <a:srcRect/>
                    <a:stretch>
                      <a:fillRect/>
                    </a:stretch>
                  </pic:blipFill>
                  <pic:spPr bwMode="auto">
                    <a:xfrm>
                      <a:off x="0" y="0"/>
                      <a:ext cx="7205345" cy="31750"/>
                    </a:xfrm>
                    <a:prstGeom prst="rect">
                      <a:avLst/>
                    </a:prstGeom>
                    <a:noFill/>
                  </pic:spPr>
                </pic:pic>
              </a:graphicData>
            </a:graphic>
          </wp:anchor>
        </w:drawing>
        <w:t>Table of Contents</w:t>
      </w:r>
    </w:p>
    <w:p>
      <w:pPr>
        <w:spacing w:after="0" w:line="244"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3"/>
          <w:szCs w:val="13"/>
          <w:b w:val="1"/>
          <w:bCs w:val="1"/>
          <w:i w:val="1"/>
          <w:iCs w:val="1"/>
          <w:color w:val="auto"/>
        </w:rPr>
        <w:t>Amendments and Waivers</w:t>
      </w:r>
    </w:p>
    <w:p>
      <w:pPr>
        <w:spacing w:after="0" w:line="96" w:lineRule="exact"/>
        <w:rPr>
          <w:sz w:val="20"/>
          <w:szCs w:val="20"/>
          <w:color w:val="auto"/>
        </w:rPr>
      </w:pPr>
    </w:p>
    <w:p>
      <w:pPr>
        <w:ind w:left="1540" w:right="719" w:firstLine="329"/>
        <w:spacing w:after="0" w:line="297" w:lineRule="auto"/>
        <w:rPr>
          <w:sz w:val="20"/>
          <w:szCs w:val="20"/>
          <w:color w:val="auto"/>
        </w:rPr>
      </w:pPr>
      <w:r>
        <w:rPr>
          <w:rFonts w:ascii="Times New Roman" w:cs="Times New Roman" w:eastAsia="Times New Roman" w:hAnsi="Times New Roman"/>
          <w:sz w:val="13"/>
          <w:szCs w:val="13"/>
          <w:color w:val="auto"/>
        </w:rPr>
        <w:t>The provisions of each 2024 Common Warrant may be modified or amended or the provisions thereof waived with the written consent of the Company and the holder.</w:t>
      </w:r>
    </w:p>
    <w:p>
      <w:pPr>
        <w:spacing w:after="0" w:line="190"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3"/>
          <w:szCs w:val="13"/>
          <w:b w:val="1"/>
          <w:bCs w:val="1"/>
          <w:i w:val="1"/>
          <w:iCs w:val="1"/>
          <w:color w:val="auto"/>
        </w:rPr>
        <w:t>No Fractional Shares</w:t>
      </w:r>
    </w:p>
    <w:p>
      <w:pPr>
        <w:spacing w:after="0" w:line="96" w:lineRule="exact"/>
        <w:rPr>
          <w:sz w:val="20"/>
          <w:szCs w:val="20"/>
          <w:color w:val="auto"/>
        </w:rPr>
      </w:pPr>
    </w:p>
    <w:p>
      <w:pPr>
        <w:ind w:left="1540" w:right="399" w:firstLine="329"/>
        <w:spacing w:after="0" w:line="271" w:lineRule="auto"/>
        <w:rPr>
          <w:sz w:val="20"/>
          <w:szCs w:val="20"/>
          <w:color w:val="auto"/>
        </w:rPr>
      </w:pPr>
      <w:r>
        <w:rPr>
          <w:rFonts w:ascii="Times New Roman" w:cs="Times New Roman" w:eastAsia="Times New Roman" w:hAnsi="Times New Roman"/>
          <w:sz w:val="13"/>
          <w:szCs w:val="13"/>
          <w:color w:val="auto"/>
        </w:rPr>
        <w:t>No fractional shares or scrip representing fractional shares shall be issued upon the exercise of the 2024 Common Warrants. As to any fraction of a share which the holder would otherwise be entitled to purchase upon such exercise, the Company shall pay or shall cause, at its option, the payment of a cash adjustment in respect of such final fraction in an amount equal to such fraction multiplied by the exercise price of the 2024 Common Warrant per whole share or round such fractional share up to the nearest whole share of Class A Common Stock.</w:t>
      </w:r>
    </w:p>
    <w:p>
      <w:pPr>
        <w:spacing w:after="0" w:line="208"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3"/>
          <w:szCs w:val="13"/>
          <w:b w:val="1"/>
          <w:bCs w:val="1"/>
          <w:i w:val="1"/>
          <w:iCs w:val="1"/>
          <w:color w:val="auto"/>
        </w:rPr>
        <w:t>Governing Law</w:t>
      </w:r>
    </w:p>
    <w:p>
      <w:pPr>
        <w:spacing w:after="0" w:line="96" w:lineRule="exact"/>
        <w:rPr>
          <w:sz w:val="20"/>
          <w:szCs w:val="20"/>
          <w:color w:val="auto"/>
        </w:rPr>
      </w:pPr>
    </w:p>
    <w:p>
      <w:pPr>
        <w:ind w:left="1540" w:right="799" w:firstLine="329"/>
        <w:spacing w:after="0" w:line="297" w:lineRule="auto"/>
        <w:rPr>
          <w:sz w:val="20"/>
          <w:szCs w:val="20"/>
          <w:color w:val="auto"/>
        </w:rPr>
      </w:pPr>
      <w:r>
        <w:rPr>
          <w:rFonts w:ascii="Times New Roman" w:cs="Times New Roman" w:eastAsia="Times New Roman" w:hAnsi="Times New Roman"/>
          <w:sz w:val="13"/>
          <w:szCs w:val="13"/>
          <w:color w:val="auto"/>
        </w:rPr>
        <w:t>All questions concerning the construction, validity, enforcement and interpretation of the 2024 Common Warrants shall be governed by and construed and enforced in accordance with the law of the State of New York.</w:t>
      </w:r>
    </w:p>
    <w:p>
      <w:pPr>
        <w:spacing w:after="0" w:line="190"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3"/>
          <w:szCs w:val="13"/>
          <w:b w:val="1"/>
          <w:bCs w:val="1"/>
          <w:color w:val="auto"/>
        </w:rPr>
        <w:t>2025 Common Warrants</w:t>
      </w:r>
    </w:p>
    <w:p>
      <w:pPr>
        <w:spacing w:after="0" w:line="96" w:lineRule="exact"/>
        <w:rPr>
          <w:sz w:val="20"/>
          <w:szCs w:val="20"/>
          <w:color w:val="auto"/>
        </w:rPr>
      </w:pPr>
    </w:p>
    <w:p>
      <w:pPr>
        <w:ind w:left="1540" w:right="459" w:firstLine="329"/>
        <w:spacing w:after="0" w:line="268" w:lineRule="auto"/>
        <w:rPr>
          <w:sz w:val="20"/>
          <w:szCs w:val="20"/>
          <w:color w:val="auto"/>
        </w:rPr>
      </w:pPr>
      <w:r>
        <w:rPr>
          <w:rFonts w:ascii="Times New Roman" w:cs="Times New Roman" w:eastAsia="Times New Roman" w:hAnsi="Times New Roman"/>
          <w:sz w:val="13"/>
          <w:szCs w:val="13"/>
          <w:color w:val="auto"/>
        </w:rPr>
        <w:t>The following is a summary of the material terms and provisions of the 2025 Common Warrants. This summary is subject to and qualified in its entirety by the form of 2025 Common Warrants, which was filed with the SEC as Exhibit 4.5 to the Company’s Annual Report on Form 10-K filed with the SEC on March 17, 2026 and is incorporated by reference into the registration statement of which this prospectus forms a part. Investors should carefully review the terms and provisions of the form of 2025 Common Warrant for a complete description of the terms and conditions of the 2025 Common Warrants. All 2025 Common Warrants were issued in certificated form.</w:t>
      </w:r>
    </w:p>
    <w:p>
      <w:pPr>
        <w:spacing w:after="0" w:line="20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3"/>
          <w:szCs w:val="13"/>
          <w:b w:val="1"/>
          <w:bCs w:val="1"/>
          <w:i w:val="1"/>
          <w:iCs w:val="1"/>
          <w:color w:val="auto"/>
        </w:rPr>
        <w:t>Exercisability</w:t>
      </w:r>
    </w:p>
    <w:p>
      <w:pPr>
        <w:spacing w:after="0" w:line="96" w:lineRule="exact"/>
        <w:rPr>
          <w:sz w:val="20"/>
          <w:szCs w:val="20"/>
          <w:color w:val="auto"/>
        </w:rPr>
      </w:pPr>
    </w:p>
    <w:p>
      <w:pPr>
        <w:ind w:left="1540" w:right="499" w:firstLine="329"/>
        <w:spacing w:after="0" w:line="271" w:lineRule="auto"/>
        <w:rPr>
          <w:sz w:val="20"/>
          <w:szCs w:val="20"/>
          <w:color w:val="auto"/>
        </w:rPr>
      </w:pPr>
      <w:r>
        <w:rPr>
          <w:rFonts w:ascii="Times New Roman" w:cs="Times New Roman" w:eastAsia="Times New Roman" w:hAnsi="Times New Roman"/>
          <w:sz w:val="13"/>
          <w:szCs w:val="13"/>
          <w:color w:val="auto"/>
        </w:rPr>
        <w:t>Each 2025 Common Warrant became exercisable on May 22, 2025, following receipt of certain approvals from the Company’s stockholders, and will expire five years from such date, unless earlier redeemed. The 2025 Common Warrants are exercisable, at the option of each holder, in whole or in part by delivering to the Company a duly executed exercise notice and payment in full for the number of shares of Class A Common Stock purchased upon such exercise, except in the case of a cashless exercise as discussed below.</w:t>
      </w:r>
    </w:p>
    <w:p>
      <w:pPr>
        <w:spacing w:after="0" w:line="131" w:lineRule="exact"/>
        <w:rPr>
          <w:sz w:val="20"/>
          <w:szCs w:val="20"/>
          <w:color w:val="auto"/>
        </w:rPr>
      </w:pPr>
    </w:p>
    <w:p>
      <w:pPr>
        <w:ind w:left="1540" w:right="899" w:firstLine="329"/>
        <w:spacing w:after="0" w:line="297" w:lineRule="auto"/>
        <w:rPr>
          <w:sz w:val="20"/>
          <w:szCs w:val="20"/>
          <w:color w:val="auto"/>
        </w:rPr>
      </w:pPr>
      <w:r>
        <w:rPr>
          <w:rFonts w:ascii="Times New Roman" w:cs="Times New Roman" w:eastAsia="Times New Roman" w:hAnsi="Times New Roman"/>
          <w:sz w:val="13"/>
          <w:szCs w:val="13"/>
          <w:color w:val="auto"/>
        </w:rPr>
        <w:t>The number of shares of Class A Common Stock issuable upon exercise of the 2025 Common Warrants is subject to adjustment in certain circumstances, including a stock split of, stock dividend on, or a subdivision, combination or recapitalization of the Class A Common Stock.</w:t>
      </w:r>
    </w:p>
    <w:p>
      <w:pPr>
        <w:spacing w:after="0" w:line="190"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3"/>
          <w:szCs w:val="13"/>
          <w:b w:val="1"/>
          <w:bCs w:val="1"/>
          <w:i w:val="1"/>
          <w:iCs w:val="1"/>
          <w:color w:val="auto"/>
        </w:rPr>
        <w:t>Cashless Exercise</w:t>
      </w:r>
    </w:p>
    <w:p>
      <w:pPr>
        <w:spacing w:after="0" w:line="96" w:lineRule="exact"/>
        <w:rPr>
          <w:sz w:val="20"/>
          <w:szCs w:val="20"/>
          <w:color w:val="auto"/>
        </w:rPr>
      </w:pPr>
    </w:p>
    <w:p>
      <w:pPr>
        <w:ind w:left="1540" w:right="419" w:firstLine="329"/>
        <w:spacing w:after="0" w:line="271" w:lineRule="auto"/>
        <w:rPr>
          <w:sz w:val="20"/>
          <w:szCs w:val="20"/>
          <w:color w:val="auto"/>
        </w:rPr>
      </w:pPr>
      <w:r>
        <w:rPr>
          <w:rFonts w:ascii="Times New Roman" w:cs="Times New Roman" w:eastAsia="Times New Roman" w:hAnsi="Times New Roman"/>
          <w:sz w:val="13"/>
          <w:szCs w:val="13"/>
          <w:color w:val="auto"/>
        </w:rPr>
        <w:t>If at the time of exercise there is no effective registration statement registering, or the prospectus contained therein is not available for the issuance or resale of the shares issuable upon exercise of the 2025 Common Warrant, the holder may exercise the 2025 Common Warrant on a cashless basis. When exercised on a cashless basis, a portion of the 2025 Common Warrant is cancelled in payment of the purchase price payable in respect of the number of shares of Class A Common Stock purchasable upon such exercise.</w:t>
      </w:r>
    </w:p>
    <w:p>
      <w:pPr>
        <w:spacing w:after="0" w:line="208"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3"/>
          <w:szCs w:val="13"/>
          <w:b w:val="1"/>
          <w:bCs w:val="1"/>
          <w:i w:val="1"/>
          <w:iCs w:val="1"/>
          <w:color w:val="auto"/>
        </w:rPr>
        <w:t>Exercise Price</w:t>
      </w:r>
    </w:p>
    <w:p>
      <w:pPr>
        <w:spacing w:after="0" w:line="96" w:lineRule="exact"/>
        <w:rPr>
          <w:sz w:val="20"/>
          <w:szCs w:val="20"/>
          <w:color w:val="auto"/>
        </w:rPr>
      </w:pPr>
    </w:p>
    <w:p>
      <w:pPr>
        <w:ind w:left="1540" w:right="459" w:firstLine="329"/>
        <w:spacing w:after="0" w:line="297" w:lineRule="auto"/>
        <w:rPr>
          <w:sz w:val="20"/>
          <w:szCs w:val="20"/>
          <w:color w:val="auto"/>
        </w:rPr>
      </w:pPr>
      <w:r>
        <w:rPr>
          <w:rFonts w:ascii="Times New Roman" w:cs="Times New Roman" w:eastAsia="Times New Roman" w:hAnsi="Times New Roman"/>
          <w:sz w:val="13"/>
          <w:szCs w:val="13"/>
          <w:color w:val="auto"/>
        </w:rPr>
        <w:t>Each 2025 Common Warrant represents the right to purchase one share of Class A Common Stock at an exercise price of $2.50 per share. Subject to limited exceptions, a holder of 2025 Common Warrants does not</w:t>
      </w:r>
    </w:p>
    <w:p>
      <w:pPr>
        <w:spacing w:after="0" w:line="6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19</w:t>
      </w:r>
    </w:p>
    <w:p>
      <w:pPr>
        <w:sectPr>
          <w:pgSz w:w="11900" w:h="16838" w:orient="portrait"/>
          <w:cols w:equalWidth="0" w:num="1">
            <w:col w:w="10159"/>
          </w:cols>
          <w:pgMar w:left="300" w:top="375" w:right="1440"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0">
                      <a:extLst>
                        <a:ext uri="{28A0092B-C50C-407E-A947-70E740481C1C}"/>
                      </a:extLst>
                    </a:blip>
                    <a:srcRect/>
                    <a:stretch>
                      <a:fillRect/>
                    </a:stretch>
                  </pic:blipFill>
                  <pic:spPr bwMode="auto">
                    <a:xfrm>
                      <a:off x="0" y="0"/>
                      <a:ext cx="7205345" cy="31750"/>
                    </a:xfrm>
                    <a:prstGeom prst="rect">
                      <a:avLst/>
                    </a:prstGeom>
                    <a:noFill/>
                  </pic:spPr>
                </pic:pic>
              </a:graphicData>
            </a:graphic>
          </wp:anchor>
        </w:drawing>
        <w:t>Table of Contents</w:t>
      </w:r>
    </w:p>
    <w:p>
      <w:pPr>
        <w:spacing w:after="0" w:line="248" w:lineRule="exact"/>
        <w:rPr>
          <w:sz w:val="20"/>
          <w:szCs w:val="20"/>
          <w:color w:val="auto"/>
        </w:rPr>
      </w:pPr>
    </w:p>
    <w:p>
      <w:pPr>
        <w:ind w:left="1540" w:right="439"/>
        <w:spacing w:after="0" w:line="263" w:lineRule="auto"/>
        <w:rPr>
          <w:sz w:val="20"/>
          <w:szCs w:val="20"/>
          <w:color w:val="auto"/>
        </w:rPr>
      </w:pPr>
      <w:r>
        <w:rPr>
          <w:rFonts w:ascii="Times New Roman" w:cs="Times New Roman" w:eastAsia="Times New Roman" w:hAnsi="Times New Roman"/>
          <w:sz w:val="13"/>
          <w:szCs w:val="13"/>
          <w:color w:val="auto"/>
        </w:rPr>
        <w:t>have the right to exercise any portion of the 2025 Common Warrant to the extent that, after giving effect to the exercise, the holder, together with its affiliates, and any other person acting as a group together with the holder or any of its affiliates, would beneficially own in excess of 4.99% or 9.99%, as applicable, or in the case of a 2025 Common Warrant held by Rory Riggs, 19.99%, of the number of shares of Class A Common Stock outstanding immediately after giving effect to its exercise (the “2025 Beneficial Ownership Limitation”). The holder, upon notice to the Company, may increase or decrease the 2025 Beneficial Ownership Limitation provisions of the 2025 Common Warrant, provided that in no event shall the limitation exceed 9.99%, or in the case of a 2025 Common Warrant held by Rory Riggs, 19.99%, of the number of shares of Class A Common Stock outstanding immediately after giving effect to the exercise of the 2025 Common Warrant. Any increase in the 2025 Beneficial Ownership Limitation will not be effective until the 61st day after such notice is delivered to the Company. The 2025 Beneficial Ownership Limitation in respect of the 2025 Common Warrants held by Rory Riggs shall remain in effect solely insofar as required by applicable Nasdaq listing rules.</w:t>
      </w:r>
    </w:p>
    <w:p>
      <w:pPr>
        <w:spacing w:after="0" w:line="215"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3"/>
          <w:szCs w:val="13"/>
          <w:b w:val="1"/>
          <w:bCs w:val="1"/>
          <w:i w:val="1"/>
          <w:iCs w:val="1"/>
          <w:color w:val="auto"/>
        </w:rPr>
        <w:t>Certain Adjustments</w:t>
      </w:r>
    </w:p>
    <w:p>
      <w:pPr>
        <w:spacing w:after="0" w:line="96" w:lineRule="exact"/>
        <w:rPr>
          <w:sz w:val="20"/>
          <w:szCs w:val="20"/>
          <w:color w:val="auto"/>
        </w:rPr>
      </w:pPr>
    </w:p>
    <w:p>
      <w:pPr>
        <w:ind w:left="1540" w:right="499" w:firstLine="329"/>
        <w:spacing w:after="0" w:line="278" w:lineRule="auto"/>
        <w:rPr>
          <w:sz w:val="20"/>
          <w:szCs w:val="20"/>
          <w:color w:val="auto"/>
        </w:rPr>
      </w:pPr>
      <w:r>
        <w:rPr>
          <w:rFonts w:ascii="Times New Roman" w:cs="Times New Roman" w:eastAsia="Times New Roman" w:hAnsi="Times New Roman"/>
          <w:sz w:val="13"/>
          <w:szCs w:val="13"/>
          <w:color w:val="auto"/>
        </w:rPr>
        <w:t>The exercise price and number of shares of Class A Common Stock issuable upon exercise of the 2025 Common Warrants may be proportionally adjusted upon the occurrence of specific events, including stock dividends, stock splits, combinations and certain recapitalizations of the Class A Common Stock.</w:t>
      </w:r>
    </w:p>
    <w:p>
      <w:pPr>
        <w:spacing w:after="0" w:line="202"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3"/>
          <w:szCs w:val="13"/>
          <w:b w:val="1"/>
          <w:bCs w:val="1"/>
          <w:i w:val="1"/>
          <w:iCs w:val="1"/>
          <w:color w:val="auto"/>
        </w:rPr>
        <w:t>Rights Upon Distribution of Assets; Purchase Rights</w:t>
      </w:r>
    </w:p>
    <w:p>
      <w:pPr>
        <w:spacing w:after="0" w:line="96" w:lineRule="exact"/>
        <w:rPr>
          <w:sz w:val="20"/>
          <w:szCs w:val="20"/>
          <w:color w:val="auto"/>
        </w:rPr>
      </w:pPr>
    </w:p>
    <w:p>
      <w:pPr>
        <w:ind w:left="1540" w:right="499" w:firstLine="329"/>
        <w:spacing w:after="0" w:line="265" w:lineRule="auto"/>
        <w:rPr>
          <w:sz w:val="20"/>
          <w:szCs w:val="20"/>
          <w:color w:val="auto"/>
        </w:rPr>
      </w:pPr>
      <w:r>
        <w:rPr>
          <w:rFonts w:ascii="Times New Roman" w:cs="Times New Roman" w:eastAsia="Times New Roman" w:hAnsi="Times New Roman"/>
          <w:sz w:val="13"/>
          <w:szCs w:val="13"/>
          <w:color w:val="auto"/>
        </w:rPr>
        <w:t>If the Company distributes assets, including cash dividends, any securities (other than a stock dividend of Class A Common Stock, described under “—Certain Adjustments”) or other property, to its stockholders, the 2025 Common Warrant holders shall be entitled to participate in such distribution to the same extent that such holder would have participated had the holder held the number of shares of Class A Common Stock acquirable upon complete exercise of its 2025 Common Warrants. If such distribution would cause such holder to exceed the 2025 Beneficial Ownership Limitation, the holder will not be entitled to participate in the distribution to such extent that the 2025 Beneficial Ownership Limitation would be exceeded and the distribution will be held in abeyance for the holder’s benefit until such time or times, if ever, as would not result in the holder exceeding the 2025 Beneficial Ownership Limitation.</w:t>
      </w:r>
    </w:p>
    <w:p>
      <w:pPr>
        <w:spacing w:after="0" w:line="135" w:lineRule="exact"/>
        <w:rPr>
          <w:sz w:val="20"/>
          <w:szCs w:val="20"/>
          <w:color w:val="auto"/>
        </w:rPr>
      </w:pPr>
    </w:p>
    <w:p>
      <w:pPr>
        <w:ind w:left="1540" w:right="479" w:firstLine="329"/>
        <w:spacing w:after="0" w:line="265" w:lineRule="auto"/>
        <w:rPr>
          <w:sz w:val="20"/>
          <w:szCs w:val="20"/>
          <w:color w:val="auto"/>
        </w:rPr>
      </w:pPr>
      <w:r>
        <w:rPr>
          <w:rFonts w:ascii="Times New Roman" w:cs="Times New Roman" w:eastAsia="Times New Roman" w:hAnsi="Times New Roman"/>
          <w:sz w:val="13"/>
          <w:szCs w:val="13"/>
          <w:color w:val="auto"/>
        </w:rPr>
        <w:t>If the Company grants, issues or sells pro rata to its stockholders, any options, convertible securities or rights to purchase stock, warrants, securities or other property, the 2025 Common Warrant holders will be entitled to acquire such purchase rights to the same extent such holder would have acquired had the holder held the number of shares of Class A Common Stock acquirable upon complete exercise of its 2025 Common Warrants. If such right to participate in any such purchase rights would cause such holder to exceed the 2025 Beneficial Ownership Limitation, then the holder will not be entitled to participate in such purchase right to such extent that the 2025 Beneficial Ownership Limitation would be exceeded by such purchase right, and to the extent necessary to prevent such occurrence, will be held in abeyance for the holder’s benefit until such time or times, if ever, as would not result in the holder exceeding the 2025 Beneficial Ownership Limitation.</w:t>
      </w:r>
    </w:p>
    <w:p>
      <w:pPr>
        <w:spacing w:after="0" w:line="211"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3"/>
          <w:szCs w:val="13"/>
          <w:b w:val="1"/>
          <w:bCs w:val="1"/>
          <w:i w:val="1"/>
          <w:iCs w:val="1"/>
          <w:color w:val="auto"/>
        </w:rPr>
        <w:t>Transferability</w:t>
      </w:r>
    </w:p>
    <w:p>
      <w:pPr>
        <w:spacing w:after="0" w:line="96" w:lineRule="exact"/>
        <w:rPr>
          <w:sz w:val="20"/>
          <w:szCs w:val="20"/>
          <w:color w:val="auto"/>
        </w:rPr>
      </w:pPr>
    </w:p>
    <w:p>
      <w:pPr>
        <w:jc w:val="both"/>
        <w:ind w:left="1540" w:right="599" w:firstLine="329"/>
        <w:spacing w:after="0" w:line="278" w:lineRule="auto"/>
        <w:rPr>
          <w:sz w:val="20"/>
          <w:szCs w:val="20"/>
          <w:color w:val="auto"/>
        </w:rPr>
      </w:pPr>
      <w:r>
        <w:rPr>
          <w:rFonts w:ascii="Times New Roman" w:cs="Times New Roman" w:eastAsia="Times New Roman" w:hAnsi="Times New Roman"/>
          <w:sz w:val="13"/>
          <w:szCs w:val="13"/>
          <w:color w:val="auto"/>
        </w:rPr>
        <w:t>Subject to applicable laws and restrictions, a holder may transfer a 2025 Common Warrant upon surrender of the 2025 Common Warrant to the Company with a duly executed assignment in the form attached to the 2025 Common Warrant. The transferring holder will be responsible for any tax liability that may arise as a result of the transfer.</w:t>
      </w:r>
    </w:p>
    <w:p>
      <w:pPr>
        <w:spacing w:after="0" w:line="202"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3"/>
          <w:szCs w:val="13"/>
          <w:b w:val="1"/>
          <w:bCs w:val="1"/>
          <w:i w:val="1"/>
          <w:iCs w:val="1"/>
          <w:color w:val="auto"/>
        </w:rPr>
        <w:t>No Listing</w:t>
      </w:r>
    </w:p>
    <w:p>
      <w:pPr>
        <w:spacing w:after="0" w:line="96" w:lineRule="exact"/>
        <w:rPr>
          <w:sz w:val="20"/>
          <w:szCs w:val="20"/>
          <w:color w:val="auto"/>
        </w:rPr>
      </w:pPr>
    </w:p>
    <w:p>
      <w:pPr>
        <w:ind w:left="1540" w:right="499" w:firstLine="329"/>
        <w:spacing w:after="0" w:line="297" w:lineRule="auto"/>
        <w:rPr>
          <w:sz w:val="20"/>
          <w:szCs w:val="20"/>
          <w:color w:val="auto"/>
        </w:rPr>
      </w:pPr>
      <w:r>
        <w:rPr>
          <w:rFonts w:ascii="Times New Roman" w:cs="Times New Roman" w:eastAsia="Times New Roman" w:hAnsi="Times New Roman"/>
          <w:sz w:val="13"/>
          <w:szCs w:val="13"/>
          <w:color w:val="auto"/>
        </w:rPr>
        <w:t>There is no established public trading market for the 2025 Common Warrants and the Company does not expect a market to develop. In addition, the Company does not intend to apply for listing of the 2025 Common</w:t>
      </w:r>
    </w:p>
    <w:p>
      <w:pPr>
        <w:spacing w:after="0" w:line="6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20</w:t>
      </w:r>
    </w:p>
    <w:p>
      <w:pPr>
        <w:sectPr>
          <w:pgSz w:w="11900" w:h="16838" w:orient="portrait"/>
          <w:cols w:equalWidth="0" w:num="1">
            <w:col w:w="10159"/>
          </w:cols>
          <w:pgMar w:left="300" w:top="375" w:right="1440"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1">
                      <a:extLst>
                        <a:ext uri="{28A0092B-C50C-407E-A947-70E740481C1C}"/>
                      </a:extLst>
                    </a:blip>
                    <a:srcRect/>
                    <a:stretch>
                      <a:fillRect/>
                    </a:stretch>
                  </pic:blipFill>
                  <pic:spPr bwMode="auto">
                    <a:xfrm>
                      <a:off x="0" y="0"/>
                      <a:ext cx="7205345" cy="31750"/>
                    </a:xfrm>
                    <a:prstGeom prst="rect">
                      <a:avLst/>
                    </a:prstGeom>
                    <a:noFill/>
                  </pic:spPr>
                </pic:pic>
              </a:graphicData>
            </a:graphic>
          </wp:anchor>
        </w:drawing>
        <w:t>Table of Contents</w:t>
      </w:r>
    </w:p>
    <w:p>
      <w:pPr>
        <w:spacing w:after="0" w:line="248"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3"/>
          <w:szCs w:val="13"/>
          <w:color w:val="auto"/>
        </w:rPr>
        <w:t>Warrants on any securities exchange or trading system. Without an active market, the liquidity of the 2025 Common Warrants will be limited.</w:t>
      </w:r>
    </w:p>
    <w:p>
      <w:pPr>
        <w:spacing w:after="0" w:line="250"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3"/>
          <w:szCs w:val="13"/>
          <w:b w:val="1"/>
          <w:bCs w:val="1"/>
          <w:i w:val="1"/>
          <w:iCs w:val="1"/>
          <w:color w:val="auto"/>
        </w:rPr>
        <w:t>Rights as Stockholder</w:t>
      </w:r>
    </w:p>
    <w:p>
      <w:pPr>
        <w:spacing w:after="0" w:line="96" w:lineRule="exact"/>
        <w:rPr>
          <w:sz w:val="20"/>
          <w:szCs w:val="20"/>
          <w:color w:val="auto"/>
        </w:rPr>
      </w:pPr>
    </w:p>
    <w:p>
      <w:pPr>
        <w:ind w:left="1540" w:right="659" w:firstLine="329"/>
        <w:spacing w:after="0" w:line="278" w:lineRule="auto"/>
        <w:rPr>
          <w:sz w:val="20"/>
          <w:szCs w:val="20"/>
          <w:color w:val="auto"/>
        </w:rPr>
      </w:pPr>
      <w:r>
        <w:rPr>
          <w:rFonts w:ascii="Times New Roman" w:cs="Times New Roman" w:eastAsia="Times New Roman" w:hAnsi="Times New Roman"/>
          <w:sz w:val="13"/>
          <w:szCs w:val="13"/>
          <w:color w:val="auto"/>
        </w:rPr>
        <w:t>Except as otherwise provided in the 2025 Common Warrants or by virtue of such holder’s ownership of shares of Class A Common Stock, the holder of a 2025 Common Warrant, solely in such holder’s capacity as a holder of a 2025 Common Warrant, will not be entitled to vote, to receive dividends, or to any of the other rights of stockholders.</w:t>
      </w:r>
    </w:p>
    <w:p>
      <w:pPr>
        <w:spacing w:after="0" w:line="202"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3"/>
          <w:szCs w:val="13"/>
          <w:b w:val="1"/>
          <w:bCs w:val="1"/>
          <w:i w:val="1"/>
          <w:iCs w:val="1"/>
          <w:color w:val="auto"/>
        </w:rPr>
        <w:t>Fundamental Transactions</w:t>
      </w:r>
    </w:p>
    <w:p>
      <w:pPr>
        <w:spacing w:after="0" w:line="96" w:lineRule="exact"/>
        <w:rPr>
          <w:sz w:val="20"/>
          <w:szCs w:val="20"/>
          <w:color w:val="auto"/>
        </w:rPr>
      </w:pPr>
    </w:p>
    <w:p>
      <w:pPr>
        <w:ind w:left="1540" w:right="439" w:firstLine="329"/>
        <w:spacing w:after="0" w:line="262" w:lineRule="auto"/>
        <w:rPr>
          <w:sz w:val="20"/>
          <w:szCs w:val="20"/>
          <w:color w:val="auto"/>
        </w:rPr>
      </w:pPr>
      <w:r>
        <w:rPr>
          <w:rFonts w:ascii="Times New Roman" w:cs="Times New Roman" w:eastAsia="Times New Roman" w:hAnsi="Times New Roman"/>
          <w:sz w:val="13"/>
          <w:szCs w:val="13"/>
          <w:color w:val="auto"/>
        </w:rPr>
        <w:t>Subject to certain limitations set forth in the 2025 Common Warrant, in the event the Company (or any of its subsidiaries) effects certain mergers, consolidations, sales or other disposition of substantially all of its assets, tender or exchange offers, reclassifications or share exchanges in which the Class A Common Stock is effectively converted into or exchanged for other securities, cash or property, the Company consummates a business combination in which another person acquires 50% of the outstanding voting power of all classes of equity of the Company, or any person or group becomes the beneficial owner of more than 50% of the aggregate voting power of all classes of equity of the Company, then, upon any subsequent exercise of the 2025 Common Warrants, the holders of the 2025 Common Warrants will have the right to receive any shares of the acquiring corporation or other consideration it would have been entitled to receive if it had been a holder of the number of shares of Class A Common Stock then issuable upon exercise of the 2025 Common Warrants. Additionally, as more fully described in the 2025 Common Warrants, in the event of certain fundamental transactions and subject to certain limitations set forth in the 2025 Common Warrant, the holders of the 2025 Common Warrants will be entitled to receive consideration in an amount equal to the Black Scholes value (as defined in the 2025 Common Warrant) of the 2025 Common Warrants on the date of the consummation of such fundamental transaction.</w:t>
      </w:r>
    </w:p>
    <w:p>
      <w:pPr>
        <w:spacing w:after="0" w:line="380"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3"/>
          <w:szCs w:val="13"/>
          <w:b w:val="1"/>
          <w:bCs w:val="1"/>
          <w:i w:val="1"/>
          <w:iCs w:val="1"/>
          <w:color w:val="auto"/>
        </w:rPr>
        <w:t>Redemption at the Option of the Company</w:t>
      </w:r>
    </w:p>
    <w:p>
      <w:pPr>
        <w:spacing w:after="0" w:line="96" w:lineRule="exact"/>
        <w:rPr>
          <w:sz w:val="20"/>
          <w:szCs w:val="20"/>
          <w:color w:val="auto"/>
        </w:rPr>
      </w:pPr>
    </w:p>
    <w:p>
      <w:pPr>
        <w:jc w:val="right"/>
        <w:ind w:right="399"/>
        <w:spacing w:after="0"/>
        <w:rPr>
          <w:sz w:val="20"/>
          <w:szCs w:val="20"/>
          <w:color w:val="auto"/>
        </w:rPr>
      </w:pPr>
      <w:r>
        <w:rPr>
          <w:rFonts w:ascii="Times New Roman" w:cs="Times New Roman" w:eastAsia="Times New Roman" w:hAnsi="Times New Roman"/>
          <w:sz w:val="13"/>
          <w:szCs w:val="13"/>
          <w:color w:val="auto"/>
        </w:rPr>
        <w:t>The 2025 Common Warrants may be redeemed at the Company’s option, in whole or in part on a pro rata basis, at any time upon the occurrence of</w:t>
      </w:r>
    </w:p>
    <w:p>
      <w:pPr>
        <w:spacing w:after="0" w:line="24" w:lineRule="exact"/>
        <w:rPr>
          <w:sz w:val="20"/>
          <w:szCs w:val="20"/>
          <w:color w:val="auto"/>
        </w:rPr>
      </w:pPr>
    </w:p>
    <w:p>
      <w:pPr>
        <w:ind w:left="1540" w:right="459" w:hanging="8"/>
        <w:spacing w:after="0" w:line="261" w:lineRule="auto"/>
        <w:tabs>
          <w:tab w:leader="none" w:pos="1700" w:val="left"/>
        </w:tabs>
        <w:numPr>
          <w:ilvl w:val="0"/>
          <w:numId w:val="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Company’s public announcement of an operational Soybean platform (the “Announcement”) and (ii) the first date on which the closing price of the Class A Common Stock on Nasdaq has equaled or exceeded $5.00 per share for fifteen consecutive trading days (the “2025 Trading Condition”) ((i) and (ii) collectively referred to as the “2025 Redemption Conditions”), at a redemption price of $0.0001 per 2025 Common Warrant (the “2025 Redemption Price”). As more fully described in the 2025 Common Warrants, the Company shall provide prompt notice to the holders upon Announcement (the “First Notice”) and upon meeting the 2025 Redemption Conditions (the “Second Notice”). Following or concurrently with the delivery of the Second Notice, the Company may, at its option, notify holders of its election to redeem the 2025 Common Warrants (the “2025 Redemption Notice”), which 2025 Redemption Notice shall be delivered no less than 30 calendar days prior to the 2025 Redemption Date (as defined below). From and after the date on which the 2025 Common Warrants are redeemed, holders of redeemed 2025 Common Warrants will have no further rights pursuant to the 2025 Common Warrants except to receive payment of the 2025 Redemption Price upon surrender of their warrant certificates and will be deemed cancelled and void.</w:t>
      </w:r>
    </w:p>
    <w:p>
      <w:pPr>
        <w:spacing w:after="0" w:line="298" w:lineRule="exact"/>
        <w:rPr>
          <w:sz w:val="20"/>
          <w:szCs w:val="20"/>
          <w:color w:val="auto"/>
        </w:rPr>
      </w:pPr>
    </w:p>
    <w:p>
      <w:pPr>
        <w:jc w:val="both"/>
        <w:ind w:left="1540" w:right="399" w:firstLine="329"/>
        <w:spacing w:after="0" w:line="278" w:lineRule="auto"/>
        <w:rPr>
          <w:sz w:val="20"/>
          <w:szCs w:val="20"/>
          <w:color w:val="auto"/>
        </w:rPr>
      </w:pPr>
      <w:r>
        <w:rPr>
          <w:rFonts w:ascii="Times New Roman" w:cs="Times New Roman" w:eastAsia="Times New Roman" w:hAnsi="Times New Roman"/>
          <w:sz w:val="13"/>
          <w:szCs w:val="13"/>
          <w:color w:val="auto"/>
        </w:rPr>
        <w:t>2025 Common Warrants noticed for redemption may not be exercised at any time after the 30th calendar day following the date on which the 2025 Redemption Notice shall have been given by the Company and prior to the date upon which the 2025 Common Warrants are redeemed by the Company (the “2025 Redemption Date”), unless the Company defaults on payment of the 2025 Redemption Price on the 2025 Redemption Date.</w:t>
      </w:r>
    </w:p>
    <w:p>
      <w:pPr>
        <w:spacing w:after="0" w:line="202"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3"/>
          <w:szCs w:val="13"/>
          <w:b w:val="1"/>
          <w:bCs w:val="1"/>
          <w:i w:val="1"/>
          <w:iCs w:val="1"/>
          <w:color w:val="auto"/>
        </w:rPr>
        <w:t>Amendments and Waivers</w:t>
      </w:r>
    </w:p>
    <w:p>
      <w:pPr>
        <w:spacing w:after="0" w:line="96" w:lineRule="exact"/>
        <w:rPr>
          <w:sz w:val="20"/>
          <w:szCs w:val="20"/>
          <w:color w:val="auto"/>
        </w:rPr>
      </w:pPr>
    </w:p>
    <w:p>
      <w:pPr>
        <w:ind w:left="1540" w:right="719" w:firstLine="329"/>
        <w:spacing w:after="0" w:line="297" w:lineRule="auto"/>
        <w:rPr>
          <w:sz w:val="20"/>
          <w:szCs w:val="20"/>
          <w:color w:val="auto"/>
        </w:rPr>
      </w:pPr>
      <w:r>
        <w:rPr>
          <w:rFonts w:ascii="Times New Roman" w:cs="Times New Roman" w:eastAsia="Times New Roman" w:hAnsi="Times New Roman"/>
          <w:sz w:val="13"/>
          <w:szCs w:val="13"/>
          <w:color w:val="auto"/>
        </w:rPr>
        <w:t>The provisions of each 2025 Common Warrant may be modified or amended or the provisions thereof waived with the written consent of the Company and the holder.</w:t>
      </w:r>
    </w:p>
    <w:p>
      <w:pPr>
        <w:spacing w:after="0" w:line="6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21</w:t>
      </w:r>
    </w:p>
    <w:p>
      <w:pPr>
        <w:sectPr>
          <w:pgSz w:w="11900" w:h="16838" w:orient="portrait"/>
          <w:cols w:equalWidth="0" w:num="1">
            <w:col w:w="10159"/>
          </w:cols>
          <w:pgMar w:left="300" w:top="375" w:right="1440"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2">
                      <a:extLst>
                        <a:ext uri="{28A0092B-C50C-407E-A947-70E740481C1C}"/>
                      </a:extLst>
                    </a:blip>
                    <a:srcRect/>
                    <a:stretch>
                      <a:fillRect/>
                    </a:stretch>
                  </pic:blipFill>
                  <pic:spPr bwMode="auto">
                    <a:xfrm>
                      <a:off x="0" y="0"/>
                      <a:ext cx="7205345" cy="31750"/>
                    </a:xfrm>
                    <a:prstGeom prst="rect">
                      <a:avLst/>
                    </a:prstGeom>
                    <a:noFill/>
                  </pic:spPr>
                </pic:pic>
              </a:graphicData>
            </a:graphic>
          </wp:anchor>
        </w:drawing>
        <w:t>Table of Contents</w:t>
      </w:r>
    </w:p>
    <w:p>
      <w:pPr>
        <w:spacing w:after="0" w:line="244"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3"/>
          <w:szCs w:val="13"/>
          <w:b w:val="1"/>
          <w:bCs w:val="1"/>
          <w:i w:val="1"/>
          <w:iCs w:val="1"/>
          <w:color w:val="auto"/>
        </w:rPr>
        <w:t>No Fractional Shares</w:t>
      </w:r>
    </w:p>
    <w:p>
      <w:pPr>
        <w:spacing w:after="0" w:line="96" w:lineRule="exact"/>
        <w:rPr>
          <w:sz w:val="20"/>
          <w:szCs w:val="20"/>
          <w:color w:val="auto"/>
        </w:rPr>
      </w:pPr>
    </w:p>
    <w:p>
      <w:pPr>
        <w:ind w:left="1540" w:right="399" w:firstLine="329"/>
        <w:spacing w:after="0" w:line="271" w:lineRule="auto"/>
        <w:rPr>
          <w:sz w:val="20"/>
          <w:szCs w:val="20"/>
          <w:color w:val="auto"/>
        </w:rPr>
      </w:pPr>
      <w:r>
        <w:rPr>
          <w:rFonts w:ascii="Times New Roman" w:cs="Times New Roman" w:eastAsia="Times New Roman" w:hAnsi="Times New Roman"/>
          <w:sz w:val="13"/>
          <w:szCs w:val="13"/>
          <w:color w:val="auto"/>
        </w:rPr>
        <w:t>No fractional shares or scrip representing fractional shares shall be issued upon the exercise of the 2025 Common Warrants. As to any fraction of a share of Class A Common Stock which the holder would otherwise be entitled to purchase upon such exercise, the Company shall pay or shall cause, at its option, the payment of a cash adjustment in respect of such final fraction in an amount equal to such fraction multiplied by the exercise price of the 2025 Common Warrant per whole share or round such fractional share up to the nearest whole share of Class A Common Stock.</w:t>
      </w:r>
    </w:p>
    <w:p>
      <w:pPr>
        <w:spacing w:after="0" w:line="208"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3"/>
          <w:szCs w:val="13"/>
          <w:b w:val="1"/>
          <w:bCs w:val="1"/>
          <w:i w:val="1"/>
          <w:iCs w:val="1"/>
          <w:color w:val="auto"/>
        </w:rPr>
        <w:t>Governing Law</w:t>
      </w:r>
    </w:p>
    <w:p>
      <w:pPr>
        <w:spacing w:after="0" w:line="96" w:lineRule="exact"/>
        <w:rPr>
          <w:sz w:val="20"/>
          <w:szCs w:val="20"/>
          <w:color w:val="auto"/>
        </w:rPr>
      </w:pPr>
    </w:p>
    <w:p>
      <w:pPr>
        <w:ind w:left="1540" w:right="799" w:firstLine="329"/>
        <w:spacing w:after="0" w:line="297" w:lineRule="auto"/>
        <w:rPr>
          <w:sz w:val="20"/>
          <w:szCs w:val="20"/>
          <w:color w:val="auto"/>
        </w:rPr>
      </w:pPr>
      <w:r>
        <w:rPr>
          <w:rFonts w:ascii="Times New Roman" w:cs="Times New Roman" w:eastAsia="Times New Roman" w:hAnsi="Times New Roman"/>
          <w:sz w:val="13"/>
          <w:szCs w:val="13"/>
          <w:color w:val="auto"/>
        </w:rPr>
        <w:t>All questions concerning the construction, validity, enforcement and interpretation of the 2025 Common Warrants shall be governed by and construed and enforced in accordance with the law of the State of New York.</w:t>
      </w:r>
    </w:p>
    <w:p>
      <w:pPr>
        <w:spacing w:after="0" w:line="190"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3"/>
          <w:szCs w:val="13"/>
          <w:b w:val="1"/>
          <w:bCs w:val="1"/>
          <w:color w:val="auto"/>
        </w:rPr>
        <w:t>2025 Pre-Funded Warrants</w:t>
      </w:r>
    </w:p>
    <w:p>
      <w:pPr>
        <w:spacing w:after="0" w:line="96" w:lineRule="exact"/>
        <w:rPr>
          <w:sz w:val="20"/>
          <w:szCs w:val="20"/>
          <w:color w:val="auto"/>
        </w:rPr>
      </w:pPr>
    </w:p>
    <w:p>
      <w:pPr>
        <w:ind w:left="1540" w:right="439" w:firstLine="329"/>
        <w:spacing w:after="0" w:line="268" w:lineRule="auto"/>
        <w:rPr>
          <w:sz w:val="20"/>
          <w:szCs w:val="20"/>
          <w:color w:val="auto"/>
        </w:rPr>
      </w:pPr>
      <w:r>
        <w:rPr>
          <w:rFonts w:ascii="Times New Roman" w:cs="Times New Roman" w:eastAsia="Times New Roman" w:hAnsi="Times New Roman"/>
          <w:sz w:val="13"/>
          <w:szCs w:val="13"/>
          <w:color w:val="auto"/>
        </w:rPr>
        <w:t>The following is a summary of the material terms and provisions of the 2025 Pre-Funded Warrants. This summary is subject to and qualified in its entirety by the form of 2025 Pre-Funded Warrants, which was filed with the SEC as Exhibit 4.6 to the Company’s Annual Report on Form 10-K filed with the SEC on March 17, 2026 and is incorporated by reference into the registration statement of which this prospectus forms a part. Investors should carefully review the terms and provisions of the form of 2025 Pre-Funded Warrant for a complete description of the terms and conditions of the 2025 Pre-Funded Warrants. All 2025 Pre-Funded Warrants were issued in certificated form.</w:t>
      </w:r>
    </w:p>
    <w:p>
      <w:pPr>
        <w:spacing w:after="0" w:line="20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3"/>
          <w:szCs w:val="13"/>
          <w:b w:val="1"/>
          <w:bCs w:val="1"/>
          <w:i w:val="1"/>
          <w:iCs w:val="1"/>
          <w:color w:val="auto"/>
        </w:rPr>
        <w:t>Exercisability</w:t>
      </w:r>
    </w:p>
    <w:p>
      <w:pPr>
        <w:spacing w:after="0" w:line="96" w:lineRule="exact"/>
        <w:rPr>
          <w:sz w:val="20"/>
          <w:szCs w:val="20"/>
          <w:color w:val="auto"/>
        </w:rPr>
      </w:pPr>
    </w:p>
    <w:p>
      <w:pPr>
        <w:ind w:left="1540" w:right="479" w:firstLine="329"/>
        <w:spacing w:after="0" w:line="271" w:lineRule="auto"/>
        <w:rPr>
          <w:sz w:val="20"/>
          <w:szCs w:val="20"/>
          <w:color w:val="auto"/>
        </w:rPr>
      </w:pPr>
      <w:r>
        <w:rPr>
          <w:rFonts w:ascii="Times New Roman" w:cs="Times New Roman" w:eastAsia="Times New Roman" w:hAnsi="Times New Roman"/>
          <w:sz w:val="13"/>
          <w:szCs w:val="13"/>
          <w:color w:val="auto"/>
        </w:rPr>
        <w:t>Each 2025 Pre-Funded Warrant was immediately exercisable upon issuance and does not have an expiration date. The 2025 Pre-Funded Warrants are exercisable, at the option of each holder, in whole or in part by delivering to the Company a duly executed exercise notice and payment of the exercise price. The number of shares of Class A Common Stock issuable upon exercise of the 2025 Pre-Funded Warrants is subject to adjustment in certain circumstances, including a stock split of, stock dividend on, or a subdivision, combination or recapitalization of the Class A Common Stock.</w:t>
      </w:r>
    </w:p>
    <w:p>
      <w:pPr>
        <w:spacing w:after="0" w:line="208"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3"/>
          <w:szCs w:val="13"/>
          <w:b w:val="1"/>
          <w:bCs w:val="1"/>
          <w:i w:val="1"/>
          <w:iCs w:val="1"/>
          <w:color w:val="auto"/>
        </w:rPr>
        <w:t>Cashless Exercise</w:t>
      </w:r>
    </w:p>
    <w:p>
      <w:pPr>
        <w:spacing w:after="0" w:line="96" w:lineRule="exact"/>
        <w:rPr>
          <w:sz w:val="20"/>
          <w:szCs w:val="20"/>
          <w:color w:val="auto"/>
        </w:rPr>
      </w:pPr>
    </w:p>
    <w:p>
      <w:pPr>
        <w:ind w:left="1540" w:right="419" w:firstLine="329"/>
        <w:spacing w:after="0" w:line="271" w:lineRule="auto"/>
        <w:rPr>
          <w:sz w:val="20"/>
          <w:szCs w:val="20"/>
          <w:color w:val="auto"/>
        </w:rPr>
      </w:pPr>
      <w:r>
        <w:rPr>
          <w:rFonts w:ascii="Times New Roman" w:cs="Times New Roman" w:eastAsia="Times New Roman" w:hAnsi="Times New Roman"/>
          <w:sz w:val="13"/>
          <w:szCs w:val="13"/>
          <w:color w:val="auto"/>
        </w:rPr>
        <w:t>If at the time of exercise there is no effective registration statement registering, or the prospectus contained therein is not available for the issuance or resale of the shares issuable upon exercise of the 2025 Pre-Funded Warrant, the holder may exercise the 2025 Pre-Funded Warrant on a cashless basis. When exercised on a cashless basis, a portion of the 2025 Pre-Funded Warrant is cancelled in payment of the purchase price payable in respect of the number of shares of Class A Common Stock purchasable upon such exercise.</w:t>
      </w:r>
    </w:p>
    <w:p>
      <w:pPr>
        <w:spacing w:after="0" w:line="208"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3"/>
          <w:szCs w:val="13"/>
          <w:b w:val="1"/>
          <w:bCs w:val="1"/>
          <w:i w:val="1"/>
          <w:iCs w:val="1"/>
          <w:color w:val="auto"/>
        </w:rPr>
        <w:t>Exercise Limitations</w:t>
      </w:r>
    </w:p>
    <w:p>
      <w:pPr>
        <w:spacing w:after="0" w:line="96" w:lineRule="exact"/>
        <w:rPr>
          <w:sz w:val="20"/>
          <w:szCs w:val="20"/>
          <w:color w:val="auto"/>
        </w:rPr>
      </w:pPr>
    </w:p>
    <w:p>
      <w:pPr>
        <w:ind w:left="1540" w:right="419" w:firstLine="329"/>
        <w:spacing w:after="0" w:line="265" w:lineRule="auto"/>
        <w:rPr>
          <w:sz w:val="20"/>
          <w:szCs w:val="20"/>
          <w:color w:val="auto"/>
        </w:rPr>
      </w:pPr>
      <w:r>
        <w:rPr>
          <w:rFonts w:ascii="Times New Roman" w:cs="Times New Roman" w:eastAsia="Times New Roman" w:hAnsi="Times New Roman"/>
          <w:sz w:val="13"/>
          <w:szCs w:val="13"/>
          <w:color w:val="auto"/>
        </w:rPr>
        <w:t>The Company may not effect the exercise of any 2025 Pre-Funded Warrant if such exercise would cause such holder to beneficially own more than 19.99% of the Class A Common Stock or the combined voting power of the Company’s securities beneficially owned by such holder (together with such holder’s affiliates) to exceed 19.99% of the combined voting power of all of the Company’s securities outstanding immediately after giving effect to the exercise as such percentage ownership is determined in accordance with the terms of the 2025 Pre-Funded Warrants. In addition, holders may choose to limit the exercise of any portion of any 2025 Pre-Funded Warrant that, upon giving effect to such exercise, would cause the aggregate number of shares of Class A Common Stock beneficially owned by such holder (together with such holder’s affiliates) to exceed 4.99% or 9.99% of the number of shares of Class A Common Stock immediately after giving effect to the</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22</w:t>
      </w:r>
    </w:p>
    <w:p>
      <w:pPr>
        <w:sectPr>
          <w:pgSz w:w="11900" w:h="16838" w:orient="portrait"/>
          <w:cols w:equalWidth="0" w:num="1">
            <w:col w:w="10159"/>
          </w:cols>
          <w:pgMar w:left="300" w:top="375" w:right="1440"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3">
                      <a:extLst>
                        <a:ext uri="{28A0092B-C50C-407E-A947-70E740481C1C}"/>
                      </a:extLst>
                    </a:blip>
                    <a:srcRect/>
                    <a:stretch>
                      <a:fillRect/>
                    </a:stretch>
                  </pic:blipFill>
                  <pic:spPr bwMode="auto">
                    <a:xfrm>
                      <a:off x="0" y="0"/>
                      <a:ext cx="7205345" cy="31750"/>
                    </a:xfrm>
                    <a:prstGeom prst="rect">
                      <a:avLst/>
                    </a:prstGeom>
                    <a:noFill/>
                  </pic:spPr>
                </pic:pic>
              </a:graphicData>
            </a:graphic>
          </wp:anchor>
        </w:drawing>
        <w:t>Table of Contents</w:t>
      </w:r>
    </w:p>
    <w:p>
      <w:pPr>
        <w:spacing w:after="0" w:line="248" w:lineRule="exact"/>
        <w:rPr>
          <w:sz w:val="20"/>
          <w:szCs w:val="20"/>
          <w:color w:val="auto"/>
        </w:rPr>
      </w:pPr>
    </w:p>
    <w:p>
      <w:pPr>
        <w:ind w:left="1540" w:right="479"/>
        <w:spacing w:after="0" w:line="271" w:lineRule="auto"/>
        <w:rPr>
          <w:sz w:val="20"/>
          <w:szCs w:val="20"/>
          <w:color w:val="auto"/>
        </w:rPr>
      </w:pPr>
      <w:r>
        <w:rPr>
          <w:rFonts w:ascii="Times New Roman" w:cs="Times New Roman" w:eastAsia="Times New Roman" w:hAnsi="Times New Roman"/>
          <w:sz w:val="13"/>
          <w:szCs w:val="13"/>
          <w:color w:val="auto"/>
        </w:rPr>
        <w:t>exercise; however, any holder of a 2025 Pre-Funded Warrant may increase or decrease such percentage, but in no event in excess of 19.99% of the combined voting power of all of the Company’s securities outstanding immediately after giving effect to the exercise, upon at least 61 days’ prior written notice from the holder to the Company. The foregoing beneficial ownership limitation in respect of the 2025 Pre-Funded Warrants held by Rory Riggs shall remain in effect solely insofar as required by applicable Nasdaq listing rules.</w:t>
      </w:r>
    </w:p>
    <w:p>
      <w:pPr>
        <w:spacing w:after="0" w:line="208"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3"/>
          <w:szCs w:val="13"/>
          <w:b w:val="1"/>
          <w:bCs w:val="1"/>
          <w:i w:val="1"/>
          <w:iCs w:val="1"/>
          <w:color w:val="auto"/>
        </w:rPr>
        <w:t>Certain Adjustments</w:t>
      </w:r>
    </w:p>
    <w:p>
      <w:pPr>
        <w:spacing w:after="0" w:line="96" w:lineRule="exact"/>
        <w:rPr>
          <w:sz w:val="20"/>
          <w:szCs w:val="20"/>
          <w:color w:val="auto"/>
        </w:rPr>
      </w:pPr>
    </w:p>
    <w:p>
      <w:pPr>
        <w:ind w:left="1540" w:right="499" w:firstLine="329"/>
        <w:spacing w:after="0" w:line="278" w:lineRule="auto"/>
        <w:rPr>
          <w:sz w:val="20"/>
          <w:szCs w:val="20"/>
          <w:color w:val="auto"/>
        </w:rPr>
      </w:pPr>
      <w:r>
        <w:rPr>
          <w:rFonts w:ascii="Times New Roman" w:cs="Times New Roman" w:eastAsia="Times New Roman" w:hAnsi="Times New Roman"/>
          <w:sz w:val="13"/>
          <w:szCs w:val="13"/>
          <w:color w:val="auto"/>
        </w:rPr>
        <w:t>The exercise price and number of shares of Class A Common Stock issuable upon exercise of the 2025 Pre-Funded Warrants may be proportionally adjusted upon the occurrence of specific events, including stock dividends, stock splits, combinations and certain recapitalizations of the Class A Common Stock.</w:t>
      </w:r>
    </w:p>
    <w:p>
      <w:pPr>
        <w:spacing w:after="0" w:line="202"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3"/>
          <w:szCs w:val="13"/>
          <w:b w:val="1"/>
          <w:bCs w:val="1"/>
          <w:i w:val="1"/>
          <w:iCs w:val="1"/>
          <w:color w:val="auto"/>
        </w:rPr>
        <w:t>Rights Upon Distribution of Assets; Purchase Rights</w:t>
      </w:r>
    </w:p>
    <w:p>
      <w:pPr>
        <w:spacing w:after="0" w:line="96" w:lineRule="exact"/>
        <w:rPr>
          <w:sz w:val="20"/>
          <w:szCs w:val="20"/>
          <w:color w:val="auto"/>
        </w:rPr>
      </w:pPr>
    </w:p>
    <w:p>
      <w:pPr>
        <w:ind w:left="1540" w:right="499" w:firstLine="329"/>
        <w:spacing w:after="0" w:line="265" w:lineRule="auto"/>
        <w:rPr>
          <w:sz w:val="20"/>
          <w:szCs w:val="20"/>
          <w:color w:val="auto"/>
        </w:rPr>
      </w:pPr>
      <w:r>
        <w:rPr>
          <w:rFonts w:ascii="Times New Roman" w:cs="Times New Roman" w:eastAsia="Times New Roman" w:hAnsi="Times New Roman"/>
          <w:sz w:val="13"/>
          <w:szCs w:val="13"/>
          <w:color w:val="auto"/>
        </w:rPr>
        <w:t>If the Company distributes assets, including cash dividends, any securities (other than a stock dividend of Class A Common Stock, described under “—Certain Adjustments”) or other property, to its stockholders, the 2025 Pre-Funded Warrant holders shall be entitled to participate in such distribution to the same extent that such holder would have participated had the holder held the number of shares of Class A Common Stock acquirable upon complete exercise of its 2025 Pre-Funded Warrants. If such distribution would cause such holder to exceed the 2025 Beneficial Ownership Limitation, the holder will not be entitled to participate in the distribution to such extent that the 2025 Beneficial Ownership Limitation would be exceeded and the distribution will be held in abeyance for the holder’s benefit until such time or times, if ever, as would not result in the holder exceeding the 2025 Beneficial Ownership Limitation.</w:t>
      </w:r>
    </w:p>
    <w:p>
      <w:pPr>
        <w:spacing w:after="0" w:line="135" w:lineRule="exact"/>
        <w:rPr>
          <w:sz w:val="20"/>
          <w:szCs w:val="20"/>
          <w:color w:val="auto"/>
        </w:rPr>
      </w:pPr>
    </w:p>
    <w:p>
      <w:pPr>
        <w:ind w:left="1540" w:right="419" w:firstLine="329"/>
        <w:spacing w:after="0" w:line="265" w:lineRule="auto"/>
        <w:rPr>
          <w:sz w:val="20"/>
          <w:szCs w:val="20"/>
          <w:color w:val="auto"/>
        </w:rPr>
      </w:pPr>
      <w:r>
        <w:rPr>
          <w:rFonts w:ascii="Times New Roman" w:cs="Times New Roman" w:eastAsia="Times New Roman" w:hAnsi="Times New Roman"/>
          <w:sz w:val="13"/>
          <w:szCs w:val="13"/>
          <w:color w:val="auto"/>
        </w:rPr>
        <w:t>If the Company grants, issues or sells pro rata to its stockholders, any options, convertible securities or rights to purchase stock, warrants, securities or other property, the 2025 Pre-Funded Warrant holders will be entitled to acquire such purchase rights to the same extent such holder would have acquired had the holder held the number of shares of Class A Common Stock acquirable upon complete exercise of its 2025 Pre-Funded Warrants. If such right to participate in any such purchase rights would cause such holder to exceed the 2025 Beneficial Ownership Limitation, then the holder will not be entitled to participate in such purchase right to such extent that the 2025 Beneficial Ownership Limitation would be exceeded by such purchase right, and to the extent necessary to prevent such occurrence, will be held in abeyance for the holder’s benefit until such time or times, if ever, as would not result in the holder exceeding the 2025 Beneficial Ownership Limitation.</w:t>
      </w:r>
    </w:p>
    <w:p>
      <w:pPr>
        <w:spacing w:after="0" w:line="211"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3"/>
          <w:szCs w:val="13"/>
          <w:b w:val="1"/>
          <w:bCs w:val="1"/>
          <w:i w:val="1"/>
          <w:iCs w:val="1"/>
          <w:color w:val="auto"/>
        </w:rPr>
        <w:t>Transferability</w:t>
      </w:r>
    </w:p>
    <w:p>
      <w:pPr>
        <w:spacing w:after="0" w:line="96" w:lineRule="exact"/>
        <w:rPr>
          <w:sz w:val="20"/>
          <w:szCs w:val="20"/>
          <w:color w:val="auto"/>
        </w:rPr>
      </w:pPr>
    </w:p>
    <w:p>
      <w:pPr>
        <w:ind w:left="1540" w:right="479" w:firstLine="329"/>
        <w:spacing w:after="0" w:line="278" w:lineRule="auto"/>
        <w:rPr>
          <w:sz w:val="20"/>
          <w:szCs w:val="20"/>
          <w:color w:val="auto"/>
        </w:rPr>
      </w:pPr>
      <w:r>
        <w:rPr>
          <w:rFonts w:ascii="Times New Roman" w:cs="Times New Roman" w:eastAsia="Times New Roman" w:hAnsi="Times New Roman"/>
          <w:sz w:val="13"/>
          <w:szCs w:val="13"/>
          <w:color w:val="auto"/>
        </w:rPr>
        <w:t>Subject to applicable laws and restrictions, a holder may transfer a 2025 Pre-Funded Warrant upon surrender of the 2025 Pre-Funded Warrant to the Company with a duly executed assignment in the form attached to the 2025 Pre-Funded Warrant. The transferring holder will be responsible for any tax liability that may arise as a result of the transfer.</w:t>
      </w:r>
    </w:p>
    <w:p>
      <w:pPr>
        <w:spacing w:after="0" w:line="202"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3"/>
          <w:szCs w:val="13"/>
          <w:b w:val="1"/>
          <w:bCs w:val="1"/>
          <w:i w:val="1"/>
          <w:iCs w:val="1"/>
          <w:color w:val="auto"/>
        </w:rPr>
        <w:t>No Listing</w:t>
      </w:r>
    </w:p>
    <w:p>
      <w:pPr>
        <w:spacing w:after="0" w:line="96" w:lineRule="exact"/>
        <w:rPr>
          <w:sz w:val="20"/>
          <w:szCs w:val="20"/>
          <w:color w:val="auto"/>
        </w:rPr>
      </w:pPr>
    </w:p>
    <w:p>
      <w:pPr>
        <w:ind w:left="1540" w:right="599" w:firstLine="329"/>
        <w:spacing w:after="0" w:line="278" w:lineRule="auto"/>
        <w:rPr>
          <w:sz w:val="20"/>
          <w:szCs w:val="20"/>
          <w:color w:val="auto"/>
        </w:rPr>
      </w:pPr>
      <w:r>
        <w:rPr>
          <w:rFonts w:ascii="Times New Roman" w:cs="Times New Roman" w:eastAsia="Times New Roman" w:hAnsi="Times New Roman"/>
          <w:sz w:val="13"/>
          <w:szCs w:val="13"/>
          <w:color w:val="auto"/>
        </w:rPr>
        <w:t>There is no established public trading market for the 2025 Pre-Funded Warrants and the Company does not expect a market to develop. In addition, the Company does not intend to apply for listing of the 2025 Pre-Funded Warrants on any securities exchange or trading system. Without an active market, the liquidity of the 2025 Pre-Funded Warrants will be limited.</w:t>
      </w:r>
    </w:p>
    <w:p>
      <w:pPr>
        <w:spacing w:after="0" w:line="202"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3"/>
          <w:szCs w:val="13"/>
          <w:b w:val="1"/>
          <w:bCs w:val="1"/>
          <w:i w:val="1"/>
          <w:iCs w:val="1"/>
          <w:color w:val="auto"/>
        </w:rPr>
        <w:t>Rights as a Stockholder</w:t>
      </w:r>
    </w:p>
    <w:p>
      <w:pPr>
        <w:spacing w:after="0" w:line="96" w:lineRule="exact"/>
        <w:rPr>
          <w:sz w:val="20"/>
          <w:szCs w:val="20"/>
          <w:color w:val="auto"/>
        </w:rPr>
      </w:pPr>
    </w:p>
    <w:p>
      <w:pPr>
        <w:ind w:left="1540" w:right="539" w:firstLine="329"/>
        <w:spacing w:after="0" w:line="297" w:lineRule="auto"/>
        <w:rPr>
          <w:sz w:val="20"/>
          <w:szCs w:val="20"/>
          <w:color w:val="auto"/>
        </w:rPr>
      </w:pPr>
      <w:r>
        <w:rPr>
          <w:rFonts w:ascii="Times New Roman" w:cs="Times New Roman" w:eastAsia="Times New Roman" w:hAnsi="Times New Roman"/>
          <w:sz w:val="13"/>
          <w:szCs w:val="13"/>
          <w:color w:val="auto"/>
        </w:rPr>
        <w:t>Except as otherwise provided in the 2025 Pre-Funded Warrants or by virtue of such holder’s ownership of shares of Class A Common Stock, the holder of a 2025 Pre-Funded Warrant, solely in such holder’s capacity as a</w:t>
      </w:r>
    </w:p>
    <w:p>
      <w:pPr>
        <w:spacing w:after="0" w:line="6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23</w:t>
      </w:r>
    </w:p>
    <w:p>
      <w:pPr>
        <w:sectPr>
          <w:pgSz w:w="11900" w:h="16838" w:orient="portrait"/>
          <w:cols w:equalWidth="0" w:num="1">
            <w:col w:w="10159"/>
          </w:cols>
          <w:pgMar w:left="300" w:top="375" w:right="1440"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4">
                      <a:extLst>
                        <a:ext uri="{28A0092B-C50C-407E-A947-70E740481C1C}"/>
                      </a:extLst>
                    </a:blip>
                    <a:srcRect/>
                    <a:stretch>
                      <a:fillRect/>
                    </a:stretch>
                  </pic:blipFill>
                  <pic:spPr bwMode="auto">
                    <a:xfrm>
                      <a:off x="0" y="0"/>
                      <a:ext cx="7205345" cy="31750"/>
                    </a:xfrm>
                    <a:prstGeom prst="rect">
                      <a:avLst/>
                    </a:prstGeom>
                    <a:noFill/>
                  </pic:spPr>
                </pic:pic>
              </a:graphicData>
            </a:graphic>
          </wp:anchor>
        </w:drawing>
        <w:t>Table of Contents</w:t>
      </w:r>
    </w:p>
    <w:p>
      <w:pPr>
        <w:spacing w:after="0" w:line="2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holder of a 2025 Pre-Funded Warrant, will not be entitled to vote, to receive dividends, or to any of the other rights of stockholders.</w:t>
      </w:r>
    </w:p>
    <w:p>
      <w:pPr>
        <w:spacing w:after="0" w:line="250"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3"/>
          <w:szCs w:val="13"/>
          <w:b w:val="1"/>
          <w:bCs w:val="1"/>
          <w:i w:val="1"/>
          <w:iCs w:val="1"/>
          <w:color w:val="auto"/>
        </w:rPr>
        <w:t>Fundamental Transactions</w:t>
      </w:r>
    </w:p>
    <w:p>
      <w:pPr>
        <w:spacing w:after="0" w:line="96" w:lineRule="exact"/>
        <w:rPr>
          <w:sz w:val="20"/>
          <w:szCs w:val="20"/>
          <w:color w:val="auto"/>
        </w:rPr>
      </w:pPr>
    </w:p>
    <w:p>
      <w:pPr>
        <w:ind w:left="1540" w:right="419" w:firstLine="329"/>
        <w:spacing w:after="0" w:line="264" w:lineRule="auto"/>
        <w:rPr>
          <w:sz w:val="20"/>
          <w:szCs w:val="20"/>
          <w:color w:val="auto"/>
        </w:rPr>
      </w:pPr>
      <w:r>
        <w:rPr>
          <w:rFonts w:ascii="Times New Roman" w:cs="Times New Roman" w:eastAsia="Times New Roman" w:hAnsi="Times New Roman"/>
          <w:sz w:val="13"/>
          <w:szCs w:val="13"/>
          <w:color w:val="auto"/>
        </w:rPr>
        <w:t>Subject to certain limitations set forth in the 2025 Pre-Funded Warrant, in the event the Company (or any of its subsidiaries) effects certain mergers, consolidations, sales or other disposition of substantially all of its assets, tender or exchange offers, reclassifications or share exchanges in which the Class A Common Stock is effectively converted into or exchanged for other securities, cash or property, the Company consummates a business combination in which another person acquires 50% of the outstanding voting power of all classes of equity of the Company, or any person or group becomes the beneficial owner of more than 50% of the aggregate voting power of all classes of equity of the Company, then, upon any subsequent exercise of the 2025 Pre-Funded Warrants, the holders of the 2025 Pre-Funded Warrants will have the right to receive any shares of the acquiring corporation or other consideration it would have been entitled to receive if it had been a holder of the number of shares of Class A Common Stock then issuable upon exercise of the 2025 Pre-Funded Warrants.</w:t>
      </w:r>
    </w:p>
    <w:p>
      <w:pPr>
        <w:spacing w:after="0" w:line="212"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3"/>
          <w:szCs w:val="13"/>
          <w:b w:val="1"/>
          <w:bCs w:val="1"/>
          <w:i w:val="1"/>
          <w:iCs w:val="1"/>
          <w:color w:val="auto"/>
        </w:rPr>
        <w:t>Amendments and Waivers</w:t>
      </w:r>
    </w:p>
    <w:p>
      <w:pPr>
        <w:spacing w:after="0" w:line="96" w:lineRule="exact"/>
        <w:rPr>
          <w:sz w:val="20"/>
          <w:szCs w:val="20"/>
          <w:color w:val="auto"/>
        </w:rPr>
      </w:pPr>
    </w:p>
    <w:p>
      <w:pPr>
        <w:ind w:left="1540" w:right="599" w:firstLine="329"/>
        <w:spacing w:after="0" w:line="297" w:lineRule="auto"/>
        <w:rPr>
          <w:sz w:val="20"/>
          <w:szCs w:val="20"/>
          <w:color w:val="auto"/>
        </w:rPr>
      </w:pPr>
      <w:r>
        <w:rPr>
          <w:rFonts w:ascii="Times New Roman" w:cs="Times New Roman" w:eastAsia="Times New Roman" w:hAnsi="Times New Roman"/>
          <w:sz w:val="13"/>
          <w:szCs w:val="13"/>
          <w:color w:val="auto"/>
        </w:rPr>
        <w:t>The provisions of each 2025 Pre-Funded Warrant may be modified or amended or the provisions thereof waived with the written consent of the Company and the holder.</w:t>
      </w:r>
    </w:p>
    <w:p>
      <w:pPr>
        <w:spacing w:after="0" w:line="190"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3"/>
          <w:szCs w:val="13"/>
          <w:b w:val="1"/>
          <w:bCs w:val="1"/>
          <w:i w:val="1"/>
          <w:iCs w:val="1"/>
          <w:color w:val="auto"/>
        </w:rPr>
        <w:t>No Fractional Shares</w:t>
      </w:r>
    </w:p>
    <w:p>
      <w:pPr>
        <w:spacing w:after="0" w:line="96" w:lineRule="exact"/>
        <w:rPr>
          <w:sz w:val="20"/>
          <w:szCs w:val="20"/>
          <w:color w:val="auto"/>
        </w:rPr>
      </w:pPr>
    </w:p>
    <w:p>
      <w:pPr>
        <w:ind w:left="1540" w:right="479" w:firstLine="329"/>
        <w:spacing w:after="0" w:line="271" w:lineRule="auto"/>
        <w:rPr>
          <w:sz w:val="20"/>
          <w:szCs w:val="20"/>
          <w:color w:val="auto"/>
        </w:rPr>
      </w:pPr>
      <w:r>
        <w:rPr>
          <w:rFonts w:ascii="Times New Roman" w:cs="Times New Roman" w:eastAsia="Times New Roman" w:hAnsi="Times New Roman"/>
          <w:sz w:val="13"/>
          <w:szCs w:val="13"/>
          <w:color w:val="auto"/>
        </w:rPr>
        <w:t>No fractional shares or scrip representing fractional shares shall be issued upon the exercise of the 2025 Pre-Funded Warrants. As to any fraction of a share of Class A Common Stock which the holder would otherwise be entitled to purchase upon such exercise, the Company shall or shall cause, at its option, the payment of a cash adjustment in respect of such final fraction in an amount equal to such fraction multiplied by the exercise price of the 2025 Pre-Funded Warrant per whole share or round such fractional share up to the nearest whole share of Class A Common Stock.</w:t>
      </w:r>
    </w:p>
    <w:p>
      <w:pPr>
        <w:spacing w:after="0" w:line="208"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3"/>
          <w:szCs w:val="13"/>
          <w:b w:val="1"/>
          <w:bCs w:val="1"/>
          <w:i w:val="1"/>
          <w:iCs w:val="1"/>
          <w:color w:val="auto"/>
        </w:rPr>
        <w:t>Governing Law</w:t>
      </w:r>
    </w:p>
    <w:p>
      <w:pPr>
        <w:spacing w:after="0" w:line="96" w:lineRule="exact"/>
        <w:rPr>
          <w:sz w:val="20"/>
          <w:szCs w:val="20"/>
          <w:color w:val="auto"/>
        </w:rPr>
      </w:pPr>
    </w:p>
    <w:p>
      <w:pPr>
        <w:ind w:left="1540" w:right="679" w:firstLine="329"/>
        <w:spacing w:after="0" w:line="297" w:lineRule="auto"/>
        <w:rPr>
          <w:sz w:val="20"/>
          <w:szCs w:val="20"/>
          <w:color w:val="auto"/>
        </w:rPr>
      </w:pPr>
      <w:r>
        <w:rPr>
          <w:rFonts w:ascii="Times New Roman" w:cs="Times New Roman" w:eastAsia="Times New Roman" w:hAnsi="Times New Roman"/>
          <w:sz w:val="13"/>
          <w:szCs w:val="13"/>
          <w:color w:val="auto"/>
        </w:rPr>
        <w:t>All questions concerning the construction, validity, enforcement and interpretation of the 2025 Pre-Funded Warrants shall be governed by and construed and enforced in accordance with the law of the State of New York.</w:t>
      </w:r>
    </w:p>
    <w:p>
      <w:pPr>
        <w:spacing w:after="0" w:line="6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24</w:t>
      </w:r>
    </w:p>
    <w:p>
      <w:pPr>
        <w:sectPr>
          <w:pgSz w:w="11900" w:h="16838" w:orient="portrait"/>
          <w:cols w:equalWidth="0" w:num="1">
            <w:col w:w="10159"/>
          </w:cols>
          <w:pgMar w:left="300" w:top="375" w:right="1440"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5">
                      <a:extLst>
                        <a:ext uri="{28A0092B-C50C-407E-A947-70E740481C1C}"/>
                      </a:extLst>
                    </a:blip>
                    <a:srcRect/>
                    <a:stretch>
                      <a:fillRect/>
                    </a:stretch>
                  </pic:blipFill>
                  <pic:spPr bwMode="auto">
                    <a:xfrm>
                      <a:off x="0" y="0"/>
                      <a:ext cx="7205345" cy="31750"/>
                    </a:xfrm>
                    <a:prstGeom prst="rect">
                      <a:avLst/>
                    </a:prstGeom>
                    <a:noFill/>
                  </pic:spPr>
                </pic:pic>
              </a:graphicData>
            </a:graphic>
          </wp:anchor>
        </w:drawing>
        <w:t>Table of Contents</w:t>
      </w:r>
    </w:p>
    <w:p>
      <w:pPr>
        <w:spacing w:after="0" w:line="24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DILUTION</w:t>
      </w:r>
    </w:p>
    <w:p>
      <w:pPr>
        <w:spacing w:after="0" w:line="177" w:lineRule="exact"/>
        <w:rPr>
          <w:sz w:val="20"/>
          <w:szCs w:val="20"/>
          <w:color w:val="auto"/>
        </w:rPr>
      </w:pPr>
    </w:p>
    <w:p>
      <w:pPr>
        <w:ind w:left="1540" w:right="419" w:firstLine="329"/>
        <w:spacing w:after="0" w:line="278" w:lineRule="auto"/>
        <w:rPr>
          <w:sz w:val="20"/>
          <w:szCs w:val="20"/>
          <w:color w:val="auto"/>
        </w:rPr>
      </w:pPr>
      <w:r>
        <w:rPr>
          <w:rFonts w:ascii="Times New Roman" w:cs="Times New Roman" w:eastAsia="Times New Roman" w:hAnsi="Times New Roman"/>
          <w:sz w:val="13"/>
          <w:szCs w:val="13"/>
          <w:color w:val="auto"/>
        </w:rPr>
        <w:t>If you purchase shares of Class A Common Stock upon the exercise of your Warrant, you will experience immediate and substantial dilution to the extent of the difference between the exercise price per share and the adjusted net tangible book value per share of the Class A Common Stock as of March 31, 2026, as adjusted to give effect to the exercise of all outstanding Warrants with the same terms.</w:t>
      </w:r>
    </w:p>
    <w:p>
      <w:pPr>
        <w:spacing w:after="0" w:line="125" w:lineRule="exact"/>
        <w:rPr>
          <w:sz w:val="20"/>
          <w:szCs w:val="20"/>
          <w:color w:val="auto"/>
        </w:rPr>
      </w:pPr>
    </w:p>
    <w:p>
      <w:pPr>
        <w:ind w:left="1540" w:right="459" w:firstLine="329"/>
        <w:spacing w:after="0" w:line="268" w:lineRule="auto"/>
        <w:rPr>
          <w:sz w:val="20"/>
          <w:szCs w:val="20"/>
          <w:color w:val="auto"/>
        </w:rPr>
      </w:pPr>
      <w:r>
        <w:rPr>
          <w:rFonts w:ascii="Times New Roman" w:cs="Times New Roman" w:eastAsia="Times New Roman" w:hAnsi="Times New Roman"/>
          <w:sz w:val="13"/>
          <w:szCs w:val="13"/>
          <w:color w:val="auto"/>
        </w:rPr>
        <w:t>The Company’s net tangible book value as of March 31, 2026, was $(228.3) million, or $(2.99) per share of Class A Common Stock. Net tangible book value (deficit) per share is determined by dividing the Company’s total tangible assets, less total liabilities, by the number of shares of Class A Common Stock outstanding as of March 31, 2026. Dilution in net tangible book value (deficit) per share of Class A Common Stock represents the difference between the exercise price paid per share by purchasers exercising Warrants and the as adjusted net tangible book value (deficit) per share of Class A Common Stock immediately after giving effect to the exercise of all outstanding Warrants with the same terms.</w:t>
      </w:r>
    </w:p>
    <w:p>
      <w:pPr>
        <w:spacing w:after="0" w:line="133" w:lineRule="exact"/>
        <w:rPr>
          <w:sz w:val="20"/>
          <w:szCs w:val="20"/>
          <w:color w:val="auto"/>
        </w:rPr>
      </w:pPr>
    </w:p>
    <w:p>
      <w:pPr>
        <w:ind w:left="1540" w:right="459" w:firstLine="329"/>
        <w:spacing w:after="0" w:line="270" w:lineRule="auto"/>
        <w:rPr>
          <w:sz w:val="20"/>
          <w:szCs w:val="20"/>
          <w:color w:val="auto"/>
        </w:rPr>
      </w:pPr>
      <w:r>
        <w:rPr>
          <w:rFonts w:ascii="Times New Roman" w:cs="Times New Roman" w:eastAsia="Times New Roman" w:hAnsi="Times New Roman"/>
          <w:sz w:val="13"/>
          <w:szCs w:val="13"/>
          <w:color w:val="auto"/>
        </w:rPr>
        <w:t>After giving effect to the exercise of all outstanding Amended 2024 Common Warrants (and assuming no exercise of the Original 2024 Common Warrants, the 2025 Common Warrants or the 2025 Pre-Funded Warrants), the Company’s as adjusted net tangible book value as of March 31, 2026 would have been approximately $(225.3) million, or $(4.06) per share of Class A Common Stock. This represents an immediate decrease in net tangible book value of $1.06 per share to existing stockholders and immediate dilution of $6.56 per share to new investors exercising Amended 2024 Common Warrants.</w:t>
      </w:r>
    </w:p>
    <w:p>
      <w:pPr>
        <w:spacing w:after="0" w:line="295" w:lineRule="exact"/>
        <w:rPr>
          <w:sz w:val="20"/>
          <w:szCs w:val="20"/>
          <w:color w:val="auto"/>
        </w:rPr>
      </w:pPr>
    </w:p>
    <w:p>
      <w:pPr>
        <w:ind w:left="1540" w:right="459" w:firstLine="329"/>
        <w:spacing w:after="0" w:line="270" w:lineRule="auto"/>
        <w:rPr>
          <w:sz w:val="20"/>
          <w:szCs w:val="20"/>
          <w:color w:val="auto"/>
        </w:rPr>
      </w:pPr>
      <w:r>
        <w:rPr>
          <w:rFonts w:ascii="Times New Roman" w:cs="Times New Roman" w:eastAsia="Times New Roman" w:hAnsi="Times New Roman"/>
          <w:sz w:val="13"/>
          <w:szCs w:val="13"/>
          <w:color w:val="auto"/>
        </w:rPr>
        <w:t>After giving effect to the exercise of all outstanding Original 2024 Common Warrants (and assuming no exercise of the Amended 2024 Common Warrants, the 2025 Common Warrants or the 2025 Pre-Funded Warrants), the Company’s as adjusted net tangible book value as of March 31, 2026 would have been approximately $(227.3) million, or $(4.18) per share of Class A Common Stock. This represents an immediate decrease in net tangible book value of $1.18 per share to existing stockholders and immediate dilution of $14.18 per share to new investors exercising Original 2024 Common Warrants.</w:t>
      </w:r>
    </w:p>
    <w:p>
      <w:pPr>
        <w:spacing w:after="0" w:line="295" w:lineRule="exact"/>
        <w:rPr>
          <w:sz w:val="20"/>
          <w:szCs w:val="20"/>
          <w:color w:val="auto"/>
        </w:rPr>
      </w:pPr>
    </w:p>
    <w:p>
      <w:pPr>
        <w:ind w:left="1540" w:right="459" w:firstLine="329"/>
        <w:spacing w:after="0" w:line="271" w:lineRule="auto"/>
        <w:rPr>
          <w:sz w:val="20"/>
          <w:szCs w:val="20"/>
          <w:color w:val="auto"/>
        </w:rPr>
      </w:pPr>
      <w:r>
        <w:rPr>
          <w:rFonts w:ascii="Times New Roman" w:cs="Times New Roman" w:eastAsia="Times New Roman" w:hAnsi="Times New Roman"/>
          <w:sz w:val="13"/>
          <w:szCs w:val="13"/>
          <w:color w:val="auto"/>
        </w:rPr>
        <w:t>After giving effect to the exercise of all outstanding 2025 Common Warrants (and assuming no exercise of the 2024 Common Warrants or the 2025 Pre-Funded Warrants), the Company’s as adjusted net tangible book value as of March 31, 2026 would have been approximately $(205.7) million, or $(3.25) per share of Class A Common Stock. This represents an immediate decrease in net tangible book value of $0.25 per share to existing stockholders and immediate dilution of $5.75 per share to new investors exercising 2025 Common Warrants.</w:t>
      </w:r>
    </w:p>
    <w:p>
      <w:pPr>
        <w:spacing w:after="0" w:line="131" w:lineRule="exact"/>
        <w:rPr>
          <w:sz w:val="20"/>
          <w:szCs w:val="20"/>
          <w:color w:val="auto"/>
        </w:rPr>
      </w:pPr>
    </w:p>
    <w:p>
      <w:pPr>
        <w:ind w:left="1540" w:right="439" w:firstLine="329"/>
        <w:spacing w:after="0" w:line="271" w:lineRule="auto"/>
        <w:rPr>
          <w:sz w:val="20"/>
          <w:szCs w:val="20"/>
          <w:color w:val="auto"/>
        </w:rPr>
      </w:pPr>
      <w:r>
        <w:rPr>
          <w:rFonts w:ascii="Times New Roman" w:cs="Times New Roman" w:eastAsia="Times New Roman" w:hAnsi="Times New Roman"/>
          <w:sz w:val="13"/>
          <w:szCs w:val="13"/>
          <w:color w:val="auto"/>
        </w:rPr>
        <w:t>After giving effect to the exercise of all outstanding 2025 Pre-Funded Warrants (and assuming no exercise of the 2024 Common Warrants or the 2025 Common Warrants), the Company’s as adjusted net tangible book value as of March 31, 2026 would have been approximately $(228.3) million, or $(4.17) per share of Class A Common Stock. This represents an immediate decrease in net tangible book value of $1.18 per share to existing stockholders and immediate dilution of $4.17 per share to new investors exercising 2025 Pre-Funded Warrants.</w:t>
      </w:r>
    </w:p>
    <w:p>
      <w:pPr>
        <w:spacing w:after="0" w:line="8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25</w:t>
      </w:r>
    </w:p>
    <w:p>
      <w:pPr>
        <w:sectPr>
          <w:pgSz w:w="11900" w:h="16838" w:orient="portrait"/>
          <w:cols w:equalWidth="0" w:num="1">
            <w:col w:w="10159"/>
          </w:cols>
          <w:pgMar w:left="300" w:top="375" w:right="1440"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6">
                      <a:extLst>
                        <a:ext uri="{28A0092B-C50C-407E-A947-70E740481C1C}"/>
                      </a:extLst>
                    </a:blip>
                    <a:srcRect/>
                    <a:stretch>
                      <a:fillRect/>
                    </a:stretch>
                  </pic:blipFill>
                  <pic:spPr bwMode="auto">
                    <a:xfrm>
                      <a:off x="0" y="0"/>
                      <a:ext cx="7205345" cy="31750"/>
                    </a:xfrm>
                    <a:prstGeom prst="rect">
                      <a:avLst/>
                    </a:prstGeom>
                    <a:noFill/>
                  </pic:spPr>
                </pic:pic>
              </a:graphicData>
            </a:graphic>
          </wp:anchor>
        </w:drawing>
        <w:t>Table of Contents</w:t>
      </w:r>
    </w:p>
    <w:p>
      <w:pPr>
        <w:spacing w:after="0" w:line="248"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3"/>
          <w:szCs w:val="13"/>
          <w:color w:val="auto"/>
        </w:rPr>
        <w:t>The following table illustrates this dilution on a per share basis:</w:t>
      </w:r>
    </w:p>
    <w:p>
      <w:pPr>
        <w:spacing w:after="0" w:line="171" w:lineRule="exact"/>
        <w:rPr>
          <w:sz w:val="20"/>
          <w:szCs w:val="20"/>
          <w:color w:val="auto"/>
        </w:rPr>
      </w:pPr>
    </w:p>
    <w:tbl>
      <w:tblPr>
        <w:tblLayout w:type="fixed"/>
        <w:tblInd w:w="1540" w:type="dxa"/>
        <w:tblCellMar>
          <w:top w:w="0" w:type="dxa"/>
          <w:left w:w="0" w:type="dxa"/>
          <w:bottom w:w="0" w:type="dxa"/>
          <w:right w:w="0" w:type="dxa"/>
        </w:tblCellMar>
      </w:tblPr>
      <w:tr>
        <w:trPr>
          <w:trHeight w:val="126"/>
        </w:trPr>
        <w:tc>
          <w:tcPr>
            <w:tcW w:w="4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2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Amended</w:t>
            </w:r>
          </w:p>
        </w:tc>
        <w:tc>
          <w:tcPr>
            <w:tcW w:w="120" w:type="dxa"/>
            <w:vAlign w:val="bottom"/>
          </w:tcPr>
          <w:p>
            <w:pPr>
              <w:spacing w:after="0"/>
              <w:rPr>
                <w:sz w:val="11"/>
                <w:szCs w:val="11"/>
                <w:color w:val="auto"/>
              </w:rPr>
            </w:pPr>
          </w:p>
        </w:tc>
        <w:tc>
          <w:tcPr>
            <w:tcW w:w="760" w:type="dxa"/>
            <w:vAlign w:val="bottom"/>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Original</w:t>
            </w:r>
          </w:p>
        </w:tc>
        <w:tc>
          <w:tcPr>
            <w:tcW w:w="80" w:type="dxa"/>
            <w:vAlign w:val="bottom"/>
          </w:tcPr>
          <w:p>
            <w:pPr>
              <w:spacing w:after="0"/>
              <w:rPr>
                <w:sz w:val="11"/>
                <w:szCs w:val="11"/>
                <w:color w:val="auto"/>
              </w:rPr>
            </w:pPr>
          </w:p>
        </w:tc>
        <w:tc>
          <w:tcPr>
            <w:tcW w:w="360" w:type="dxa"/>
            <w:vAlign w:val="bottom"/>
            <w:vMerge w:val="restart"/>
          </w:tcPr>
          <w:p>
            <w:pPr>
              <w:jc w:val="right"/>
              <w:ind w:right="56"/>
              <w:spacing w:after="0"/>
              <w:rPr>
                <w:sz w:val="20"/>
                <w:szCs w:val="20"/>
                <w:color w:val="auto"/>
              </w:rPr>
            </w:pPr>
            <w:r>
              <w:rPr>
                <w:rFonts w:ascii="Times New Roman" w:cs="Times New Roman" w:eastAsia="Times New Roman" w:hAnsi="Times New Roman"/>
                <w:sz w:val="11"/>
                <w:szCs w:val="11"/>
                <w:b w:val="1"/>
                <w:bCs w:val="1"/>
                <w:color w:val="auto"/>
                <w:w w:val="99"/>
              </w:rPr>
              <w:t>2025</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vMerge w:val="restart"/>
          </w:tcPr>
          <w:p>
            <w:pPr>
              <w:jc w:val="right"/>
              <w:ind w:right="116"/>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1"/>
        </w:trPr>
        <w:tc>
          <w:tcPr>
            <w:tcW w:w="45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jc w:val="right"/>
              <w:ind w:right="36"/>
              <w:spacing w:after="0" w:line="111" w:lineRule="exact"/>
              <w:rPr>
                <w:sz w:val="20"/>
                <w:szCs w:val="20"/>
                <w:color w:val="auto"/>
              </w:rPr>
            </w:pPr>
            <w:r>
              <w:rPr>
                <w:rFonts w:ascii="Times New Roman" w:cs="Times New Roman" w:eastAsia="Times New Roman" w:hAnsi="Times New Roman"/>
                <w:sz w:val="11"/>
                <w:szCs w:val="11"/>
                <w:b w:val="1"/>
                <w:bCs w:val="1"/>
                <w:color w:val="auto"/>
                <w:w w:val="99"/>
              </w:rPr>
              <w:t>2024</w:t>
            </w: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jc w:val="right"/>
              <w:ind w:right="56"/>
              <w:spacing w:after="0" w:line="111" w:lineRule="exact"/>
              <w:rPr>
                <w:sz w:val="20"/>
                <w:szCs w:val="20"/>
                <w:color w:val="auto"/>
              </w:rPr>
            </w:pPr>
            <w:r>
              <w:rPr>
                <w:rFonts w:ascii="Times New Roman" w:cs="Times New Roman" w:eastAsia="Times New Roman" w:hAnsi="Times New Roman"/>
                <w:sz w:val="11"/>
                <w:szCs w:val="11"/>
                <w:b w:val="1"/>
                <w:bCs w:val="1"/>
                <w:color w:val="auto"/>
                <w:w w:val="99"/>
              </w:rPr>
              <w:t>2024</w:t>
            </w: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4500" w:type="dxa"/>
            <w:vAlign w:val="bottom"/>
          </w:tcPr>
          <w:p>
            <w:pPr>
              <w:spacing w:after="0"/>
              <w:rPr>
                <w:sz w:val="9"/>
                <w:szCs w:val="9"/>
                <w:color w:val="auto"/>
              </w:rPr>
            </w:pPr>
          </w:p>
        </w:tc>
        <w:tc>
          <w:tcPr>
            <w:tcW w:w="840" w:type="dxa"/>
            <w:vAlign w:val="bottom"/>
          </w:tcPr>
          <w:p>
            <w:pPr>
              <w:spacing w:after="0"/>
              <w:rPr>
                <w:sz w:val="9"/>
                <w:szCs w:val="9"/>
                <w:color w:val="auto"/>
              </w:rPr>
            </w:pPr>
          </w:p>
        </w:tc>
        <w:tc>
          <w:tcPr>
            <w:tcW w:w="620" w:type="dxa"/>
            <w:vAlign w:val="bottom"/>
            <w:gridSpan w:val="3"/>
          </w:tcPr>
          <w:p>
            <w:pPr>
              <w:ind w:left="20"/>
              <w:spacing w:after="0" w:line="111" w:lineRule="exact"/>
              <w:rPr>
                <w:sz w:val="20"/>
                <w:szCs w:val="20"/>
                <w:color w:val="auto"/>
              </w:rPr>
            </w:pPr>
            <w:r>
              <w:rPr>
                <w:rFonts w:ascii="Times New Roman" w:cs="Times New Roman" w:eastAsia="Times New Roman" w:hAnsi="Times New Roman"/>
                <w:sz w:val="11"/>
                <w:szCs w:val="11"/>
                <w:b w:val="1"/>
                <w:bCs w:val="1"/>
                <w:color w:val="auto"/>
              </w:rPr>
              <w:t>Common</w:t>
            </w:r>
          </w:p>
        </w:tc>
        <w:tc>
          <w:tcPr>
            <w:tcW w:w="120" w:type="dxa"/>
            <w:vAlign w:val="bottom"/>
          </w:tcPr>
          <w:p>
            <w:pPr>
              <w:spacing w:after="0"/>
              <w:rPr>
                <w:sz w:val="9"/>
                <w:szCs w:val="9"/>
                <w:color w:val="auto"/>
              </w:rPr>
            </w:pPr>
          </w:p>
        </w:tc>
        <w:tc>
          <w:tcPr>
            <w:tcW w:w="760" w:type="dxa"/>
            <w:vAlign w:val="bottom"/>
            <w:gridSpan w:val="3"/>
          </w:tcPr>
          <w:p>
            <w:pPr>
              <w:ind w:left="20"/>
              <w:spacing w:after="0" w:line="111" w:lineRule="exact"/>
              <w:rPr>
                <w:sz w:val="20"/>
                <w:szCs w:val="20"/>
                <w:color w:val="auto"/>
              </w:rPr>
            </w:pPr>
            <w:r>
              <w:rPr>
                <w:rFonts w:ascii="Times New Roman" w:cs="Times New Roman" w:eastAsia="Times New Roman" w:hAnsi="Times New Roman"/>
                <w:sz w:val="11"/>
                <w:szCs w:val="11"/>
                <w:b w:val="1"/>
                <w:bCs w:val="1"/>
                <w:color w:val="auto"/>
              </w:rPr>
              <w:t>Common</w:t>
            </w:r>
          </w:p>
        </w:tc>
        <w:tc>
          <w:tcPr>
            <w:tcW w:w="740" w:type="dxa"/>
            <w:vAlign w:val="bottom"/>
            <w:gridSpan w:val="3"/>
          </w:tcPr>
          <w:p>
            <w:pPr>
              <w:spacing w:after="0" w:line="111" w:lineRule="exact"/>
              <w:rPr>
                <w:sz w:val="20"/>
                <w:szCs w:val="20"/>
                <w:color w:val="auto"/>
              </w:rPr>
            </w:pPr>
            <w:r>
              <w:rPr>
                <w:rFonts w:ascii="Times New Roman" w:cs="Times New Roman" w:eastAsia="Times New Roman" w:hAnsi="Times New Roman"/>
                <w:sz w:val="11"/>
                <w:szCs w:val="11"/>
                <w:b w:val="1"/>
                <w:bCs w:val="1"/>
                <w:color w:val="auto"/>
              </w:rPr>
              <w:t>Common</w:t>
            </w:r>
          </w:p>
        </w:tc>
        <w:tc>
          <w:tcPr>
            <w:tcW w:w="640" w:type="dxa"/>
            <w:vAlign w:val="bottom"/>
            <w:gridSpan w:val="3"/>
          </w:tcPr>
          <w:p>
            <w:pPr>
              <w:spacing w:after="0" w:line="111" w:lineRule="exact"/>
              <w:rPr>
                <w:sz w:val="20"/>
                <w:szCs w:val="20"/>
                <w:color w:val="auto"/>
              </w:rPr>
            </w:pPr>
            <w:r>
              <w:rPr>
                <w:rFonts w:ascii="Times New Roman" w:cs="Times New Roman" w:eastAsia="Times New Roman" w:hAnsi="Times New Roman"/>
                <w:sz w:val="11"/>
                <w:szCs w:val="11"/>
                <w:b w:val="1"/>
                <w:bCs w:val="1"/>
                <w:color w:val="auto"/>
              </w:rPr>
              <w:t>Pre-Funded</w:t>
            </w:r>
          </w:p>
        </w:tc>
        <w:tc>
          <w:tcPr>
            <w:tcW w:w="0" w:type="dxa"/>
            <w:vAlign w:val="bottom"/>
          </w:tcPr>
          <w:p>
            <w:pPr>
              <w:spacing w:after="0"/>
              <w:rPr>
                <w:sz w:val="1"/>
                <w:szCs w:val="1"/>
                <w:color w:val="auto"/>
              </w:rPr>
            </w:pPr>
          </w:p>
        </w:tc>
      </w:tr>
      <w:tr>
        <w:trPr>
          <w:trHeight w:val="130"/>
        </w:trPr>
        <w:tc>
          <w:tcPr>
            <w:tcW w:w="4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2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Warrants</w:t>
            </w:r>
          </w:p>
        </w:tc>
        <w:tc>
          <w:tcPr>
            <w:tcW w:w="120" w:type="dxa"/>
            <w:vAlign w:val="bottom"/>
          </w:tcPr>
          <w:p>
            <w:pPr>
              <w:spacing w:after="0"/>
              <w:rPr>
                <w:sz w:val="11"/>
                <w:szCs w:val="11"/>
                <w:color w:val="auto"/>
              </w:rPr>
            </w:pPr>
          </w:p>
        </w:tc>
        <w:tc>
          <w:tcPr>
            <w:tcW w:w="76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Warrants</w:t>
            </w:r>
          </w:p>
        </w:tc>
        <w:tc>
          <w:tcPr>
            <w:tcW w:w="74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Warrants</w:t>
            </w:r>
          </w:p>
        </w:tc>
        <w:tc>
          <w:tcPr>
            <w:tcW w:w="640" w:type="dxa"/>
            <w:vAlign w:val="bottom"/>
            <w:gridSpan w:val="3"/>
          </w:tcPr>
          <w:p>
            <w:pPr>
              <w:ind w:left="60"/>
              <w:spacing w:after="0"/>
              <w:rPr>
                <w:sz w:val="20"/>
                <w:szCs w:val="20"/>
                <w:color w:val="auto"/>
              </w:rPr>
            </w:pPr>
            <w:r>
              <w:rPr>
                <w:rFonts w:ascii="Times New Roman" w:cs="Times New Roman" w:eastAsia="Times New Roman" w:hAnsi="Times New Roman"/>
                <w:sz w:val="11"/>
                <w:szCs w:val="11"/>
                <w:b w:val="1"/>
                <w:bCs w:val="1"/>
                <w:color w:val="auto"/>
              </w:rPr>
              <w:t>Warrants</w:t>
            </w:r>
          </w:p>
        </w:tc>
        <w:tc>
          <w:tcPr>
            <w:tcW w:w="0" w:type="dxa"/>
            <w:vAlign w:val="bottom"/>
          </w:tcPr>
          <w:p>
            <w:pPr>
              <w:spacing w:after="0"/>
              <w:rPr>
                <w:sz w:val="1"/>
                <w:szCs w:val="1"/>
                <w:color w:val="auto"/>
              </w:rPr>
            </w:pPr>
          </w:p>
        </w:tc>
      </w:tr>
      <w:tr>
        <w:trPr>
          <w:trHeight w:val="161"/>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Warrant exercise price per share</w:t>
            </w:r>
          </w:p>
        </w:tc>
        <w:tc>
          <w:tcPr>
            <w:tcW w:w="94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2.50</w:t>
            </w:r>
          </w:p>
        </w:tc>
        <w:tc>
          <w:tcPr>
            <w:tcW w:w="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10.00</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2.50</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0.0001</w:t>
            </w:r>
          </w:p>
        </w:tc>
        <w:tc>
          <w:tcPr>
            <w:tcW w:w="0" w:type="dxa"/>
            <w:vAlign w:val="bottom"/>
          </w:tcPr>
          <w:p>
            <w:pPr>
              <w:spacing w:after="0"/>
              <w:rPr>
                <w:sz w:val="1"/>
                <w:szCs w:val="1"/>
                <w:color w:val="auto"/>
              </w:rPr>
            </w:pPr>
          </w:p>
        </w:tc>
      </w:tr>
      <w:tr>
        <w:trPr>
          <w:trHeight w:val="161"/>
        </w:trPr>
        <w:tc>
          <w:tcPr>
            <w:tcW w:w="4500" w:type="dxa"/>
            <w:vAlign w:val="bottom"/>
          </w:tcPr>
          <w:p>
            <w:pPr>
              <w:spacing w:after="0"/>
              <w:rPr>
                <w:sz w:val="20"/>
                <w:szCs w:val="20"/>
                <w:color w:val="auto"/>
              </w:rPr>
            </w:pPr>
            <w:r>
              <w:rPr>
                <w:rFonts w:ascii="Times New Roman" w:cs="Times New Roman" w:eastAsia="Times New Roman" w:hAnsi="Times New Roman"/>
                <w:sz w:val="13"/>
                <w:szCs w:val="13"/>
                <w:color w:val="auto"/>
              </w:rPr>
              <w:t>Net tangible book value per share as of March 31, 2026</w:t>
            </w:r>
          </w:p>
        </w:tc>
        <w:tc>
          <w:tcPr>
            <w:tcW w:w="840" w:type="dxa"/>
            <w:vAlign w:val="bottom"/>
          </w:tcPr>
          <w:p>
            <w:pPr>
              <w:jc w:val="right"/>
              <w:ind w:right="193"/>
              <w:spacing w:after="0"/>
              <w:rPr>
                <w:sz w:val="20"/>
                <w:szCs w:val="20"/>
                <w:color w:val="auto"/>
              </w:rPr>
            </w:pPr>
            <w:r>
              <w:rPr>
                <w:rFonts w:ascii="Times New Roman" w:cs="Times New Roman" w:eastAsia="Times New Roman" w:hAnsi="Times New Roman"/>
                <w:sz w:val="13"/>
                <w:szCs w:val="13"/>
                <w:color w:val="auto"/>
              </w:rPr>
              <w:t>$(2.99)</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Increase in net tangible book value per share attributable to this offering</w:t>
            </w: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0.08</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0.02</w:t>
            </w: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0.58</w:t>
            </w:r>
          </w:p>
        </w:tc>
        <w:tc>
          <w:tcPr>
            <w:tcW w:w="12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0.02</w:t>
            </w:r>
          </w:p>
        </w:tc>
        <w:tc>
          <w:tcPr>
            <w:tcW w:w="0" w:type="dxa"/>
            <w:vAlign w:val="bottom"/>
          </w:tcPr>
          <w:p>
            <w:pPr>
              <w:spacing w:after="0"/>
              <w:rPr>
                <w:sz w:val="1"/>
                <w:szCs w:val="1"/>
                <w:color w:val="auto"/>
              </w:rPr>
            </w:pPr>
          </w:p>
        </w:tc>
      </w:tr>
      <w:tr>
        <w:trPr>
          <w:trHeight w:val="148"/>
        </w:trPr>
        <w:tc>
          <w:tcPr>
            <w:tcW w:w="4500" w:type="dxa"/>
            <w:vAlign w:val="bottom"/>
          </w:tcPr>
          <w:p>
            <w:pPr>
              <w:spacing w:after="0" w:line="149" w:lineRule="exact"/>
              <w:rPr>
                <w:sz w:val="20"/>
                <w:szCs w:val="20"/>
                <w:color w:val="auto"/>
              </w:rPr>
            </w:pPr>
            <w:r>
              <w:rPr>
                <w:rFonts w:ascii="Times New Roman" w:cs="Times New Roman" w:eastAsia="Times New Roman" w:hAnsi="Times New Roman"/>
                <w:sz w:val="13"/>
                <w:szCs w:val="13"/>
                <w:color w:val="auto"/>
              </w:rPr>
              <w:t>As adjusted net tangible book value per share as of March 31, 2026, after giving</w:t>
            </w: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45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effect to the exercise of all outstanding Warrants with the same terms</w:t>
            </w: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(2.91)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(2.98)</w:t>
            </w:r>
          </w:p>
        </w:tc>
        <w:tc>
          <w:tcPr>
            <w:tcW w:w="80" w:type="dxa"/>
            <w:vAlign w:val="bottom"/>
          </w:tcPr>
          <w:p>
            <w:pPr>
              <w:spacing w:after="0"/>
              <w:rPr>
                <w:sz w:val="15"/>
                <w:szCs w:val="15"/>
                <w:color w:val="auto"/>
              </w:rPr>
            </w:pPr>
          </w:p>
        </w:tc>
        <w:tc>
          <w:tcPr>
            <w:tcW w:w="66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(2.41)</w:t>
            </w:r>
          </w:p>
        </w:tc>
        <w:tc>
          <w:tcPr>
            <w:tcW w:w="120" w:type="dxa"/>
            <w:vAlign w:val="bottom"/>
          </w:tcPr>
          <w:p>
            <w:pPr>
              <w:spacing w:after="0"/>
              <w:rPr>
                <w:sz w:val="15"/>
                <w:szCs w:val="15"/>
                <w:color w:val="auto"/>
              </w:rPr>
            </w:pP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(2.48)</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Dilution per share to investors exercising Warrants</w:t>
            </w: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5.41</w:t>
            </w:r>
          </w:p>
        </w:tc>
        <w:tc>
          <w:tcPr>
            <w:tcW w:w="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12.98</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4.91</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2.</w:t>
            </w:r>
            <w:r>
              <w:rPr>
                <w:rFonts w:ascii="Times New Roman" w:cs="Times New Roman" w:eastAsia="Times New Roman" w:hAnsi="Times New Roman"/>
                <w:sz w:val="13"/>
                <w:szCs w:val="13"/>
                <w:u w:val="single" w:color="auto"/>
                <w:color w:val="auto"/>
              </w:rPr>
              <w:t>98</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9" w:lineRule="exact"/>
        <w:rPr>
          <w:sz w:val="20"/>
          <w:szCs w:val="20"/>
          <w:color w:val="auto"/>
        </w:rPr>
      </w:pPr>
    </w:p>
    <w:p>
      <w:pPr>
        <w:jc w:val="both"/>
        <w:ind w:left="1540" w:right="819" w:firstLine="329"/>
        <w:spacing w:after="0" w:line="278" w:lineRule="auto"/>
        <w:rPr>
          <w:sz w:val="20"/>
          <w:szCs w:val="20"/>
          <w:color w:val="auto"/>
        </w:rPr>
      </w:pPr>
      <w:r>
        <w:rPr>
          <w:rFonts w:ascii="Times New Roman" w:cs="Times New Roman" w:eastAsia="Times New Roman" w:hAnsi="Times New Roman"/>
          <w:sz w:val="13"/>
          <w:szCs w:val="13"/>
          <w:color w:val="auto"/>
        </w:rPr>
        <w:t>The above discussion and table are based on 76,345,736 shares of Class A Common Stock (inclusive of 62,641 shares of restricted Class A Common Stock, which are outstanding, subject to vesting conditions) outstanding as of March 31, 2026 and no shares of Class B Common Stock outstanding as of March 31, 2026 and excludes, in each case as of that date (unless otherwise indicated):</w:t>
      </w:r>
    </w:p>
    <w:p>
      <w:pPr>
        <w:spacing w:after="0" w:line="55" w:lineRule="exact"/>
        <w:rPr>
          <w:sz w:val="20"/>
          <w:szCs w:val="20"/>
          <w:color w:val="auto"/>
        </w:rPr>
      </w:pPr>
    </w:p>
    <w:p>
      <w:pPr>
        <w:ind w:left="2260" w:right="419" w:hanging="325"/>
        <w:spacing w:after="0" w:line="297" w:lineRule="auto"/>
        <w:tabs>
          <w:tab w:leader="none" w:pos="2260" w:val="left"/>
        </w:tabs>
        <w:numPr>
          <w:ilvl w:val="0"/>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1,434,633 shares of Class A Common Stock issuable upon the exercise of outstanding stock options with a weighted average exercise price of $27.48 per share;</w:t>
      </w:r>
    </w:p>
    <w:p>
      <w:pPr>
        <w:spacing w:after="0" w:line="43" w:lineRule="exact"/>
        <w:rPr>
          <w:rFonts w:ascii="Times New Roman" w:cs="Times New Roman" w:eastAsia="Times New Roman" w:hAnsi="Times New Roman"/>
          <w:sz w:val="13"/>
          <w:szCs w:val="13"/>
          <w:color w:val="auto"/>
        </w:rPr>
      </w:pPr>
    </w:p>
    <w:p>
      <w:pPr>
        <w:ind w:left="2260" w:hanging="325"/>
        <w:spacing w:after="0"/>
        <w:tabs>
          <w:tab w:leader="none" w:pos="2260" w:val="left"/>
        </w:tabs>
        <w:numPr>
          <w:ilvl w:val="0"/>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1,171,264 shares of Class A Common Stock issuable upon the vesting and settlement of restricted stock units outstanding;</w:t>
      </w:r>
    </w:p>
    <w:p>
      <w:pPr>
        <w:spacing w:after="0" w:line="102" w:lineRule="exact"/>
        <w:rPr>
          <w:rFonts w:ascii="Times New Roman" w:cs="Times New Roman" w:eastAsia="Times New Roman" w:hAnsi="Times New Roman"/>
          <w:sz w:val="13"/>
          <w:szCs w:val="13"/>
          <w:color w:val="auto"/>
        </w:rPr>
      </w:pPr>
    </w:p>
    <w:p>
      <w:pPr>
        <w:ind w:left="2260" w:hanging="325"/>
        <w:spacing w:after="0"/>
        <w:tabs>
          <w:tab w:leader="none" w:pos="2260" w:val="left"/>
        </w:tabs>
        <w:numPr>
          <w:ilvl w:val="0"/>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5,305,236 shares of Class A Common Stock reserved for future issuance under the Company’s equity compensation plan; and</w:t>
      </w:r>
    </w:p>
    <w:p>
      <w:pPr>
        <w:spacing w:after="0" w:line="102" w:lineRule="exact"/>
        <w:rPr>
          <w:rFonts w:ascii="Times New Roman" w:cs="Times New Roman" w:eastAsia="Times New Roman" w:hAnsi="Times New Roman"/>
          <w:sz w:val="13"/>
          <w:szCs w:val="13"/>
          <w:color w:val="auto"/>
        </w:rPr>
      </w:pPr>
    </w:p>
    <w:p>
      <w:pPr>
        <w:ind w:left="2260" w:right="579" w:hanging="325"/>
        <w:spacing w:after="0" w:line="297" w:lineRule="auto"/>
        <w:tabs>
          <w:tab w:leader="none" w:pos="2260" w:val="left"/>
        </w:tabs>
        <w:numPr>
          <w:ilvl w:val="0"/>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158,483 shares of Class A Common Stock issuable upon exercise of outstanding common warrants to purchase Class A Common Stock, each with an exercise price of $69.04 per share of Class A Common Stock.</w:t>
      </w:r>
    </w:p>
    <w:p>
      <w:pPr>
        <w:spacing w:after="0" w:line="114" w:lineRule="exact"/>
        <w:rPr>
          <w:sz w:val="20"/>
          <w:szCs w:val="20"/>
          <w:color w:val="auto"/>
        </w:rPr>
      </w:pPr>
    </w:p>
    <w:p>
      <w:pPr>
        <w:ind w:left="1540" w:right="499" w:firstLine="329"/>
        <w:spacing w:after="0" w:line="278" w:lineRule="auto"/>
        <w:rPr>
          <w:sz w:val="20"/>
          <w:szCs w:val="20"/>
          <w:color w:val="auto"/>
        </w:rPr>
      </w:pPr>
      <w:r>
        <w:rPr>
          <w:rFonts w:ascii="Times New Roman" w:cs="Times New Roman" w:eastAsia="Times New Roman" w:hAnsi="Times New Roman"/>
          <w:sz w:val="13"/>
          <w:szCs w:val="13"/>
          <w:color w:val="auto"/>
        </w:rPr>
        <w:t>Unless otherwise stated, information in this prospectus assumes no further exercise of outstanding options or other warrants and no future issuances by Cibus of shares of its Class A Common Stock or securities convertible into or exercisable for Cibus’ Class A Common Stock, including as part of any future offerings of such securities.</w:t>
      </w:r>
    </w:p>
    <w:p>
      <w:pPr>
        <w:spacing w:after="0" w:line="7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26</w:t>
      </w:r>
    </w:p>
    <w:p>
      <w:pPr>
        <w:sectPr>
          <w:pgSz w:w="11900" w:h="16838" w:orient="portrait"/>
          <w:cols w:equalWidth="0" w:num="1">
            <w:col w:w="10159"/>
          </w:cols>
          <w:pgMar w:left="300" w:top="375" w:right="1440"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7">
                      <a:extLst>
                        <a:ext uri="{28A0092B-C50C-407E-A947-70E740481C1C}"/>
                      </a:extLst>
                    </a:blip>
                    <a:srcRect/>
                    <a:stretch>
                      <a:fillRect/>
                    </a:stretch>
                  </pic:blipFill>
                  <pic:spPr bwMode="auto">
                    <a:xfrm>
                      <a:off x="0" y="0"/>
                      <a:ext cx="7205345" cy="31750"/>
                    </a:xfrm>
                    <a:prstGeom prst="rect">
                      <a:avLst/>
                    </a:prstGeom>
                    <a:noFill/>
                  </pic:spPr>
                </pic:pic>
              </a:graphicData>
            </a:graphic>
          </wp:anchor>
        </w:drawing>
        <w:t>Table of Contents</w:t>
      </w:r>
    </w:p>
    <w:p>
      <w:pPr>
        <w:spacing w:after="0" w:line="24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PLAN OF DISTRIBUTION</w:t>
      </w:r>
    </w:p>
    <w:p>
      <w:pPr>
        <w:spacing w:after="0" w:line="177" w:lineRule="exact"/>
        <w:rPr>
          <w:sz w:val="20"/>
          <w:szCs w:val="20"/>
          <w:color w:val="auto"/>
        </w:rPr>
      </w:pPr>
    </w:p>
    <w:p>
      <w:pPr>
        <w:ind w:left="1540" w:right="419" w:firstLine="329"/>
        <w:spacing w:after="0" w:line="266" w:lineRule="auto"/>
        <w:rPr>
          <w:sz w:val="20"/>
          <w:szCs w:val="20"/>
          <w:color w:val="auto"/>
        </w:rPr>
      </w:pPr>
      <w:r>
        <w:rPr>
          <w:rFonts w:ascii="Times New Roman" w:cs="Times New Roman" w:eastAsia="Times New Roman" w:hAnsi="Times New Roman"/>
          <w:sz w:val="13"/>
          <w:szCs w:val="13"/>
          <w:color w:val="auto"/>
        </w:rPr>
        <w:t>The Class A Common Stock referenced on the cover page of this prospectus will be offered solely by the Company and will be issued and sold upon the exercise of the Warrants described herein. For the holders of Warrants to exercise the Warrants, the shares issuable upon exercise must either be registered under the Securities Act or exempt from registration. If a registration statement registering the issuance of the shares of Class A Common Stock underlying the Warrants under the Securities Act is not effective or available for the issuance of such shares, the holder may, in its sole discretion, elect to exercise the Warrant through a cashless exercise, in which case the holder would receive upon such exercise the net number of shares of Class A Common Stock determined according to the formula set forth in the Warrant.</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27</w:t>
      </w:r>
    </w:p>
    <w:p>
      <w:pPr>
        <w:sectPr>
          <w:pgSz w:w="11900" w:h="16838" w:orient="portrait"/>
          <w:cols w:equalWidth="0" w:num="1">
            <w:col w:w="10159"/>
          </w:cols>
          <w:pgMar w:left="300" w:top="375" w:right="1440"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8">
                      <a:extLst>
                        <a:ext uri="{28A0092B-C50C-407E-A947-70E740481C1C}"/>
                      </a:extLst>
                    </a:blip>
                    <a:srcRect/>
                    <a:stretch>
                      <a:fillRect/>
                    </a:stretch>
                  </pic:blipFill>
                  <pic:spPr bwMode="auto">
                    <a:xfrm>
                      <a:off x="0" y="0"/>
                      <a:ext cx="7205345" cy="31750"/>
                    </a:xfrm>
                    <a:prstGeom prst="rect">
                      <a:avLst/>
                    </a:prstGeom>
                    <a:noFill/>
                  </pic:spPr>
                </pic:pic>
              </a:graphicData>
            </a:graphic>
          </wp:anchor>
        </w:drawing>
        <w:t>Table of Contents</w:t>
      </w:r>
    </w:p>
    <w:p>
      <w:pPr>
        <w:spacing w:after="0" w:line="244"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3"/>
          <w:szCs w:val="13"/>
          <w:b w:val="1"/>
          <w:bCs w:val="1"/>
          <w:color w:val="auto"/>
        </w:rPr>
        <w:t>CERTAIN U.S. FEDERAL INCOME TAX CONSIDERATIONS FOR NON-U.S. HOLDERS</w:t>
      </w:r>
    </w:p>
    <w:p>
      <w:pPr>
        <w:spacing w:after="0" w:line="177" w:lineRule="exact"/>
        <w:rPr>
          <w:sz w:val="20"/>
          <w:szCs w:val="20"/>
          <w:color w:val="auto"/>
        </w:rPr>
      </w:pPr>
    </w:p>
    <w:p>
      <w:pPr>
        <w:ind w:left="1540" w:right="399" w:firstLine="329"/>
        <w:spacing w:after="0" w:line="263" w:lineRule="auto"/>
        <w:rPr>
          <w:sz w:val="20"/>
          <w:szCs w:val="20"/>
          <w:color w:val="auto"/>
        </w:rPr>
      </w:pPr>
      <w:r>
        <w:rPr>
          <w:rFonts w:ascii="Times New Roman" w:cs="Times New Roman" w:eastAsia="Times New Roman" w:hAnsi="Times New Roman"/>
          <w:sz w:val="13"/>
          <w:szCs w:val="13"/>
          <w:color w:val="auto"/>
        </w:rPr>
        <w:t>Subject to the limitations, assumptions and qualifications described herein, the following is a summary of certain U.S. federal income tax considerations of the purchase, ownership and disposition of Class A Common Stock acquired pursuant to this offering by Non-U.S. Holders (as defined below). Prospective holders of the Class A Common Stock should consult their tax advisors with respect to the U.S. federal, state, local and non-U.S. tax consequences of the purchase, ownership and disposition of the Class A Common Stock. This discussion is based on current provisions of the U.S. Internal Revenue Code of 1986, as amended (the “Code”), existing U.S. Treasury regulations promulgated thereunder, published administrative pronouncements and rulings of the U.S. Internal Revenue Service (the “IRS”), and judicial decisions, all as in effect as of the date of this prospectus supplement. These authorities are subject to change and to differing interpretation, possibly with retroactive effect. Any change or differing interpretation could alter the tax consequences to holders described in this discussion. There can be no assurance that a court or the IRS will not challenge one or more of the tax consequences described herein, and Cibus has not obtained, nor does it intend to obtain, a ruling with respect to the U.S. federal income tax consequences to a holder of the purchase, ownership or disposition of the Class A Common Stock.</w:t>
      </w:r>
    </w:p>
    <w:p>
      <w:pPr>
        <w:spacing w:after="0" w:line="136" w:lineRule="exact"/>
        <w:rPr>
          <w:sz w:val="20"/>
          <w:szCs w:val="20"/>
          <w:color w:val="auto"/>
        </w:rPr>
      </w:pPr>
    </w:p>
    <w:p>
      <w:pPr>
        <w:ind w:left="1540" w:right="399" w:firstLine="329"/>
        <w:spacing w:after="0" w:line="268" w:lineRule="auto"/>
        <w:rPr>
          <w:sz w:val="20"/>
          <w:szCs w:val="20"/>
          <w:color w:val="auto"/>
        </w:rPr>
      </w:pPr>
      <w:r>
        <w:rPr>
          <w:rFonts w:ascii="Times New Roman" w:cs="Times New Roman" w:eastAsia="Times New Roman" w:hAnsi="Times New Roman"/>
          <w:sz w:val="13"/>
          <w:szCs w:val="13"/>
          <w:color w:val="auto"/>
        </w:rPr>
        <w:t>This discussion addresses only those shares of Class A Common Stock that are held as capital assets within the meaning of Section 1221 of the Code (generally, property held for investment) by holders that acquired such Class A Common Stock pursuant to this offering. This discussion does not address all the U.S. federal income tax consequences that may be relevant to particular holders in light of their individual circumstances, nor does it address any alternative minimum, Medicare contribution, estate or gift tax consequences, or any aspects of U.S. state, local or non-U.S. taxes. It does not address holders that are subject to special rules, such as:</w:t>
      </w:r>
    </w:p>
    <w:p>
      <w:pPr>
        <w:spacing w:after="0" w:line="62" w:lineRule="exact"/>
        <w:rPr>
          <w:sz w:val="20"/>
          <w:szCs w:val="20"/>
          <w:color w:val="auto"/>
        </w:rPr>
      </w:pPr>
    </w:p>
    <w:p>
      <w:pPr>
        <w:ind w:left="2260" w:hanging="325"/>
        <w:spacing w:after="0"/>
        <w:tabs>
          <w:tab w:leader="none" w:pos="2260" w:val="left"/>
        </w:tabs>
        <w:numPr>
          <w:ilvl w:val="0"/>
          <w:numId w:val="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banks, insurance companies or other financial institutions;</w:t>
      </w:r>
    </w:p>
    <w:p>
      <w:pPr>
        <w:spacing w:after="0" w:line="102" w:lineRule="exact"/>
        <w:rPr>
          <w:rFonts w:ascii="Times New Roman" w:cs="Times New Roman" w:eastAsia="Times New Roman" w:hAnsi="Times New Roman"/>
          <w:sz w:val="13"/>
          <w:szCs w:val="13"/>
          <w:color w:val="auto"/>
        </w:rPr>
      </w:pPr>
    </w:p>
    <w:p>
      <w:pPr>
        <w:ind w:left="2260" w:hanging="325"/>
        <w:spacing w:after="0"/>
        <w:tabs>
          <w:tab w:leader="none" w:pos="2260" w:val="left"/>
        </w:tabs>
        <w:numPr>
          <w:ilvl w:val="0"/>
          <w:numId w:val="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tax-exempt organizations or governmental organizations;</w:t>
      </w:r>
    </w:p>
    <w:p>
      <w:pPr>
        <w:spacing w:after="0" w:line="102" w:lineRule="exact"/>
        <w:rPr>
          <w:rFonts w:ascii="Times New Roman" w:cs="Times New Roman" w:eastAsia="Times New Roman" w:hAnsi="Times New Roman"/>
          <w:sz w:val="13"/>
          <w:szCs w:val="13"/>
          <w:color w:val="auto"/>
        </w:rPr>
      </w:pPr>
    </w:p>
    <w:p>
      <w:pPr>
        <w:ind w:left="2260" w:hanging="325"/>
        <w:spacing w:after="0"/>
        <w:tabs>
          <w:tab w:leader="none" w:pos="2260" w:val="left"/>
        </w:tabs>
        <w:numPr>
          <w:ilvl w:val="0"/>
          <w:numId w:val="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brokers or dealers in securities;</w:t>
      </w:r>
    </w:p>
    <w:p>
      <w:pPr>
        <w:spacing w:after="0" w:line="102" w:lineRule="exact"/>
        <w:rPr>
          <w:rFonts w:ascii="Times New Roman" w:cs="Times New Roman" w:eastAsia="Times New Roman" w:hAnsi="Times New Roman"/>
          <w:sz w:val="13"/>
          <w:szCs w:val="13"/>
          <w:color w:val="auto"/>
        </w:rPr>
      </w:pPr>
    </w:p>
    <w:p>
      <w:pPr>
        <w:ind w:left="2260" w:hanging="325"/>
        <w:spacing w:after="0"/>
        <w:tabs>
          <w:tab w:leader="none" w:pos="2260" w:val="left"/>
        </w:tabs>
        <w:numPr>
          <w:ilvl w:val="0"/>
          <w:numId w:val="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traders in securities that elect to use a mark-to-market method of accounting for their securities holdings;</w:t>
      </w:r>
    </w:p>
    <w:p>
      <w:pPr>
        <w:spacing w:after="0" w:line="102" w:lineRule="exact"/>
        <w:rPr>
          <w:rFonts w:ascii="Times New Roman" w:cs="Times New Roman" w:eastAsia="Times New Roman" w:hAnsi="Times New Roman"/>
          <w:sz w:val="13"/>
          <w:szCs w:val="13"/>
          <w:color w:val="auto"/>
        </w:rPr>
      </w:pPr>
    </w:p>
    <w:p>
      <w:pPr>
        <w:ind w:left="2260" w:right="539" w:hanging="325"/>
        <w:spacing w:after="0" w:line="297" w:lineRule="auto"/>
        <w:tabs>
          <w:tab w:leader="none" w:pos="2260" w:val="left"/>
        </w:tabs>
        <w:numPr>
          <w:ilvl w:val="0"/>
          <w:numId w:val="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persons who hold any of the Class A Common Stock as a position in a hedging transaction, “straddle,” “conversion transaction,” or other risk reduction transaction;</w:t>
      </w:r>
    </w:p>
    <w:p>
      <w:pPr>
        <w:spacing w:after="0" w:line="43" w:lineRule="exact"/>
        <w:rPr>
          <w:rFonts w:ascii="Times New Roman" w:cs="Times New Roman" w:eastAsia="Times New Roman" w:hAnsi="Times New Roman"/>
          <w:sz w:val="13"/>
          <w:szCs w:val="13"/>
          <w:color w:val="auto"/>
        </w:rPr>
      </w:pPr>
    </w:p>
    <w:p>
      <w:pPr>
        <w:ind w:left="2260" w:hanging="325"/>
        <w:spacing w:after="0"/>
        <w:tabs>
          <w:tab w:leader="none" w:pos="2260" w:val="left"/>
        </w:tabs>
        <w:numPr>
          <w:ilvl w:val="0"/>
          <w:numId w:val="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persons deemed to sell any of the Class A Common Stock under the constructive sale provisions of the Code;</w:t>
      </w:r>
    </w:p>
    <w:p>
      <w:pPr>
        <w:spacing w:after="0" w:line="102" w:lineRule="exact"/>
        <w:rPr>
          <w:rFonts w:ascii="Times New Roman" w:cs="Times New Roman" w:eastAsia="Times New Roman" w:hAnsi="Times New Roman"/>
          <w:sz w:val="13"/>
          <w:szCs w:val="13"/>
          <w:color w:val="auto"/>
        </w:rPr>
      </w:pPr>
    </w:p>
    <w:p>
      <w:pPr>
        <w:ind w:left="2260" w:right="499" w:hanging="325"/>
        <w:spacing w:after="0" w:line="297" w:lineRule="auto"/>
        <w:tabs>
          <w:tab w:leader="none" w:pos="2260" w:val="left"/>
        </w:tabs>
        <w:numPr>
          <w:ilvl w:val="0"/>
          <w:numId w:val="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entities or arrangements classified as partnerships for U.S. federal income tax purposes or other pass-through entities (or investors in such entities or arrangements);</w:t>
      </w:r>
    </w:p>
    <w:p>
      <w:pPr>
        <w:spacing w:after="0" w:line="43" w:lineRule="exact"/>
        <w:rPr>
          <w:rFonts w:ascii="Times New Roman" w:cs="Times New Roman" w:eastAsia="Times New Roman" w:hAnsi="Times New Roman"/>
          <w:sz w:val="13"/>
          <w:szCs w:val="13"/>
          <w:color w:val="auto"/>
        </w:rPr>
      </w:pPr>
    </w:p>
    <w:p>
      <w:pPr>
        <w:ind w:left="2260" w:hanging="325"/>
        <w:spacing w:after="0"/>
        <w:tabs>
          <w:tab w:leader="none" w:pos="2260" w:val="left"/>
        </w:tabs>
        <w:numPr>
          <w:ilvl w:val="0"/>
          <w:numId w:val="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regulated investment companies or real estate investment trusts;</w:t>
      </w:r>
    </w:p>
    <w:p>
      <w:pPr>
        <w:spacing w:after="0" w:line="102" w:lineRule="exact"/>
        <w:rPr>
          <w:rFonts w:ascii="Times New Roman" w:cs="Times New Roman" w:eastAsia="Times New Roman" w:hAnsi="Times New Roman"/>
          <w:sz w:val="13"/>
          <w:szCs w:val="13"/>
          <w:color w:val="auto"/>
        </w:rPr>
      </w:pPr>
    </w:p>
    <w:p>
      <w:pPr>
        <w:ind w:left="2260" w:right="739" w:hanging="325"/>
        <w:spacing w:after="0" w:line="297" w:lineRule="auto"/>
        <w:tabs>
          <w:tab w:leader="none" w:pos="2260" w:val="left"/>
        </w:tabs>
        <w:numPr>
          <w:ilvl w:val="0"/>
          <w:numId w:val="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controlled foreign corporations, passive foreign investment companies or corporations that accumulate earnings to avoid U.S. federal income tax;</w:t>
      </w:r>
    </w:p>
    <w:p>
      <w:pPr>
        <w:spacing w:after="0" w:line="43" w:lineRule="exact"/>
        <w:rPr>
          <w:rFonts w:ascii="Times New Roman" w:cs="Times New Roman" w:eastAsia="Times New Roman" w:hAnsi="Times New Roman"/>
          <w:sz w:val="13"/>
          <w:szCs w:val="13"/>
          <w:color w:val="auto"/>
        </w:rPr>
      </w:pPr>
    </w:p>
    <w:p>
      <w:pPr>
        <w:ind w:left="2260" w:right="479" w:hanging="325"/>
        <w:spacing w:after="0" w:line="297" w:lineRule="auto"/>
        <w:tabs>
          <w:tab w:leader="none" w:pos="2260" w:val="left"/>
        </w:tabs>
        <w:numPr>
          <w:ilvl w:val="0"/>
          <w:numId w:val="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“qualified foreign pension funds” as defined in Section 897(l)(2) of the Code and entities all of the interests of which are held by qualified foreign pension funds;</w:t>
      </w:r>
    </w:p>
    <w:p>
      <w:pPr>
        <w:spacing w:after="0" w:line="43" w:lineRule="exact"/>
        <w:rPr>
          <w:rFonts w:ascii="Times New Roman" w:cs="Times New Roman" w:eastAsia="Times New Roman" w:hAnsi="Times New Roman"/>
          <w:sz w:val="13"/>
          <w:szCs w:val="13"/>
          <w:color w:val="auto"/>
        </w:rPr>
      </w:pPr>
    </w:p>
    <w:p>
      <w:pPr>
        <w:ind w:left="2260" w:hanging="325"/>
        <w:spacing w:after="0"/>
        <w:tabs>
          <w:tab w:leader="none" w:pos="2260" w:val="left"/>
        </w:tabs>
        <w:numPr>
          <w:ilvl w:val="0"/>
          <w:numId w:val="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U.S. expatriates and former citizens or former long-term residents of the United States; or</w:t>
      </w:r>
    </w:p>
    <w:p>
      <w:pPr>
        <w:spacing w:after="0" w:line="102" w:lineRule="exact"/>
        <w:rPr>
          <w:rFonts w:ascii="Times New Roman" w:cs="Times New Roman" w:eastAsia="Times New Roman" w:hAnsi="Times New Roman"/>
          <w:sz w:val="13"/>
          <w:szCs w:val="13"/>
          <w:color w:val="auto"/>
        </w:rPr>
      </w:pPr>
    </w:p>
    <w:p>
      <w:pPr>
        <w:ind w:left="2260" w:right="419" w:hanging="325"/>
        <w:spacing w:after="0" w:line="297" w:lineRule="auto"/>
        <w:tabs>
          <w:tab w:leader="none" w:pos="2260" w:val="left"/>
        </w:tabs>
        <w:numPr>
          <w:ilvl w:val="0"/>
          <w:numId w:val="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holders that acquire the Class A Common Stock through the exercise of an employee stock option or otherwise as compensation or through a tax-qualified retirement plan.</w:t>
      </w:r>
    </w:p>
    <w:p>
      <w:pPr>
        <w:spacing w:after="0" w:line="114" w:lineRule="exact"/>
        <w:rPr>
          <w:sz w:val="20"/>
          <w:szCs w:val="20"/>
          <w:color w:val="auto"/>
        </w:rPr>
      </w:pPr>
    </w:p>
    <w:p>
      <w:pPr>
        <w:ind w:left="1540" w:right="419" w:firstLine="329"/>
        <w:spacing w:after="0" w:line="278" w:lineRule="auto"/>
        <w:rPr>
          <w:sz w:val="20"/>
          <w:szCs w:val="20"/>
          <w:color w:val="auto"/>
        </w:rPr>
      </w:pPr>
      <w:r>
        <w:rPr>
          <w:rFonts w:ascii="Times New Roman" w:cs="Times New Roman" w:eastAsia="Times New Roman" w:hAnsi="Times New Roman"/>
          <w:sz w:val="13"/>
          <w:szCs w:val="13"/>
          <w:color w:val="auto"/>
        </w:rPr>
        <w:t>If a holder is a partnership or other pass-through entity (including an entity or arrangement treated as a partnership or other type of pass-through entity for U.S. federal income tax purposes), the U.S. federal income tax treatment of a partner or beneficial owner will generally depend on the status of such partner or beneficial</w:t>
      </w:r>
    </w:p>
    <w:p>
      <w:pPr>
        <w:spacing w:after="0" w:line="7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28</w:t>
      </w:r>
    </w:p>
    <w:p>
      <w:pPr>
        <w:sectPr>
          <w:pgSz w:w="11900" w:h="16838" w:orient="portrait"/>
          <w:cols w:equalWidth="0" w:num="1">
            <w:col w:w="10159"/>
          </w:cols>
          <w:pgMar w:left="300" w:top="375" w:right="1440"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9">
                      <a:extLst>
                        <a:ext uri="{28A0092B-C50C-407E-A947-70E740481C1C}"/>
                      </a:extLst>
                    </a:blip>
                    <a:srcRect/>
                    <a:stretch>
                      <a:fillRect/>
                    </a:stretch>
                  </pic:blipFill>
                  <pic:spPr bwMode="auto">
                    <a:xfrm>
                      <a:off x="0" y="0"/>
                      <a:ext cx="7205345" cy="31750"/>
                    </a:xfrm>
                    <a:prstGeom prst="rect">
                      <a:avLst/>
                    </a:prstGeom>
                    <a:noFill/>
                  </pic:spPr>
                </pic:pic>
              </a:graphicData>
            </a:graphic>
          </wp:anchor>
        </w:drawing>
        <w:t>Table of Contents</w:t>
      </w:r>
    </w:p>
    <w:p>
      <w:pPr>
        <w:spacing w:after="0" w:line="248" w:lineRule="exact"/>
        <w:rPr>
          <w:sz w:val="20"/>
          <w:szCs w:val="20"/>
          <w:color w:val="auto"/>
        </w:rPr>
      </w:pPr>
    </w:p>
    <w:p>
      <w:pPr>
        <w:jc w:val="both"/>
        <w:ind w:left="1540" w:right="679"/>
        <w:spacing w:after="0" w:line="278" w:lineRule="auto"/>
        <w:rPr>
          <w:sz w:val="20"/>
          <w:szCs w:val="20"/>
          <w:color w:val="auto"/>
        </w:rPr>
      </w:pPr>
      <w:r>
        <w:rPr>
          <w:rFonts w:ascii="Times New Roman" w:cs="Times New Roman" w:eastAsia="Times New Roman" w:hAnsi="Times New Roman"/>
          <w:sz w:val="13"/>
          <w:szCs w:val="13"/>
          <w:color w:val="auto"/>
        </w:rPr>
        <w:t>owner and the entity’s activities. Partnerships, partners and beneficial owners in partnerships or other pass-through entities should consult their tax advisors as to the particular U.S. federal income tax considerations applicable to the acquisition, ownership and disposition of the Class A Common Stock.</w:t>
      </w:r>
    </w:p>
    <w:p>
      <w:pPr>
        <w:spacing w:after="0" w:line="125" w:lineRule="exact"/>
        <w:rPr>
          <w:sz w:val="20"/>
          <w:szCs w:val="20"/>
          <w:color w:val="auto"/>
        </w:rPr>
      </w:pPr>
    </w:p>
    <w:p>
      <w:pPr>
        <w:ind w:left="1540" w:right="439" w:firstLine="329"/>
        <w:spacing w:after="0" w:line="297" w:lineRule="auto"/>
        <w:rPr>
          <w:sz w:val="20"/>
          <w:szCs w:val="20"/>
          <w:color w:val="auto"/>
        </w:rPr>
      </w:pPr>
      <w:r>
        <w:rPr>
          <w:rFonts w:ascii="Times New Roman" w:cs="Times New Roman" w:eastAsia="Times New Roman" w:hAnsi="Times New Roman"/>
          <w:sz w:val="13"/>
          <w:szCs w:val="13"/>
          <w:color w:val="auto"/>
        </w:rPr>
        <w:t>For purposes of this discussion, a “U.S. person” is a beneficial owner of the Class A Common Stock, that, for U.S. federal income tax purposes is, or is treated as:</w:t>
      </w:r>
    </w:p>
    <w:p>
      <w:pPr>
        <w:spacing w:after="0" w:line="43" w:lineRule="exact"/>
        <w:rPr>
          <w:sz w:val="20"/>
          <w:szCs w:val="20"/>
          <w:color w:val="auto"/>
        </w:rPr>
      </w:pPr>
    </w:p>
    <w:p>
      <w:pPr>
        <w:ind w:left="2260" w:hanging="325"/>
        <w:spacing w:after="0"/>
        <w:tabs>
          <w:tab w:leader="none" w:pos="2260" w:val="left"/>
        </w:tabs>
        <w:numPr>
          <w:ilvl w:val="0"/>
          <w:numId w:val="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 individual that is a citizen or resident of the United States;</w:t>
      </w:r>
    </w:p>
    <w:p>
      <w:pPr>
        <w:spacing w:after="0" w:line="102" w:lineRule="exact"/>
        <w:rPr>
          <w:rFonts w:ascii="Times New Roman" w:cs="Times New Roman" w:eastAsia="Times New Roman" w:hAnsi="Times New Roman"/>
          <w:sz w:val="13"/>
          <w:szCs w:val="13"/>
          <w:color w:val="auto"/>
        </w:rPr>
      </w:pPr>
    </w:p>
    <w:p>
      <w:pPr>
        <w:ind w:left="2260" w:right="559" w:hanging="325"/>
        <w:spacing w:after="0" w:line="297" w:lineRule="auto"/>
        <w:tabs>
          <w:tab w:leader="none" w:pos="2260" w:val="left"/>
        </w:tabs>
        <w:numPr>
          <w:ilvl w:val="0"/>
          <w:numId w:val="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corporation, or an entity treated as a corporation, created or organized in or under the laws of the United States, any state thereof or the District of Columbia;</w:t>
      </w:r>
    </w:p>
    <w:p>
      <w:pPr>
        <w:spacing w:after="0" w:line="43" w:lineRule="exact"/>
        <w:rPr>
          <w:rFonts w:ascii="Times New Roman" w:cs="Times New Roman" w:eastAsia="Times New Roman" w:hAnsi="Times New Roman"/>
          <w:sz w:val="13"/>
          <w:szCs w:val="13"/>
          <w:color w:val="auto"/>
        </w:rPr>
      </w:pPr>
    </w:p>
    <w:p>
      <w:pPr>
        <w:jc w:val="both"/>
        <w:ind w:left="2260" w:right="579" w:hanging="325"/>
        <w:spacing w:after="0" w:line="278" w:lineRule="auto"/>
        <w:tabs>
          <w:tab w:leader="none" w:pos="2260" w:val="left"/>
        </w:tabs>
        <w:numPr>
          <w:ilvl w:val="0"/>
          <w:numId w:val="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trust that (1) is subject to (A) the primary supervision of a court within the United States and (B) the authority of one or more “United States persons” (within the meaning of Section 7701(a)(30) of the Code) to control all substantial decisions of the trust or (2) has a valid election in effect under applicable U.S. Treasury regulations to be treated as a United States person; or</w:t>
      </w:r>
    </w:p>
    <w:p>
      <w:pPr>
        <w:spacing w:after="0" w:line="54" w:lineRule="exact"/>
        <w:rPr>
          <w:rFonts w:ascii="Times New Roman" w:cs="Times New Roman" w:eastAsia="Times New Roman" w:hAnsi="Times New Roman"/>
          <w:sz w:val="13"/>
          <w:szCs w:val="13"/>
          <w:color w:val="auto"/>
        </w:rPr>
      </w:pPr>
    </w:p>
    <w:p>
      <w:pPr>
        <w:ind w:left="2260" w:hanging="325"/>
        <w:spacing w:after="0"/>
        <w:tabs>
          <w:tab w:leader="none" w:pos="2260" w:val="left"/>
        </w:tabs>
        <w:numPr>
          <w:ilvl w:val="0"/>
          <w:numId w:val="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 estate that is subject to U.S. federal income tax on its income regardless of its source.</w:t>
      </w:r>
    </w:p>
    <w:p>
      <w:pPr>
        <w:spacing w:after="0" w:line="173" w:lineRule="exact"/>
        <w:rPr>
          <w:sz w:val="20"/>
          <w:szCs w:val="20"/>
          <w:color w:val="auto"/>
        </w:rPr>
      </w:pPr>
    </w:p>
    <w:p>
      <w:pPr>
        <w:ind w:left="1540" w:right="639" w:firstLine="329"/>
        <w:spacing w:after="0" w:line="297" w:lineRule="auto"/>
        <w:rPr>
          <w:sz w:val="20"/>
          <w:szCs w:val="20"/>
          <w:color w:val="auto"/>
        </w:rPr>
      </w:pPr>
      <w:r>
        <w:rPr>
          <w:rFonts w:ascii="Times New Roman" w:cs="Times New Roman" w:eastAsia="Times New Roman" w:hAnsi="Times New Roman"/>
          <w:sz w:val="13"/>
          <w:szCs w:val="13"/>
          <w:color w:val="auto"/>
        </w:rPr>
        <w:t>As used herein, the term “Non-U.S. Holder” means a beneficial owner, other than an entity treated as a partnership for U.S. federal income tax purposes, of the Class A Common Stock that is, for U.S. federal income tax purposes, not a U.S. person.</w:t>
      </w:r>
    </w:p>
    <w:p>
      <w:pPr>
        <w:spacing w:after="0" w:line="110" w:lineRule="exact"/>
        <w:rPr>
          <w:sz w:val="20"/>
          <w:szCs w:val="20"/>
          <w:color w:val="auto"/>
        </w:rPr>
      </w:pPr>
    </w:p>
    <w:p>
      <w:pPr>
        <w:ind w:left="1540" w:right="499" w:firstLine="329"/>
        <w:spacing w:after="0" w:line="281" w:lineRule="auto"/>
        <w:rPr>
          <w:sz w:val="20"/>
          <w:szCs w:val="20"/>
          <w:color w:val="auto"/>
        </w:rPr>
      </w:pPr>
      <w:r>
        <w:rPr>
          <w:rFonts w:ascii="Times New Roman" w:cs="Times New Roman" w:eastAsia="Times New Roman" w:hAnsi="Times New Roman"/>
          <w:sz w:val="13"/>
          <w:szCs w:val="13"/>
          <w:b w:val="1"/>
          <w:bCs w:val="1"/>
          <w:color w:val="auto"/>
        </w:rPr>
        <w:t>PROSPECTIVE INVESTORS ARE URGED TO CONSULT THEIR TAX ADVISORS REGARDING THE PARTICULAR FEDERAL, STATE, LOCAL AND NON-U.S. TAX CONSEQUENCES TO THEM OF THE PURCHASE, OWNERSHIP AND DISPOSITION OF THE CLASS A COMMON STOCK.</w:t>
      </w:r>
    </w:p>
    <w:p>
      <w:pPr>
        <w:spacing w:after="0" w:line="201"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3"/>
          <w:szCs w:val="13"/>
          <w:b w:val="1"/>
          <w:bCs w:val="1"/>
          <w:i w:val="1"/>
          <w:iCs w:val="1"/>
          <w:color w:val="auto"/>
        </w:rPr>
        <w:t>Distributions on the Class A Common Stock</w:t>
      </w:r>
    </w:p>
    <w:p>
      <w:pPr>
        <w:spacing w:after="0" w:line="96" w:lineRule="exact"/>
        <w:rPr>
          <w:sz w:val="20"/>
          <w:szCs w:val="20"/>
          <w:color w:val="auto"/>
        </w:rPr>
      </w:pPr>
    </w:p>
    <w:p>
      <w:pPr>
        <w:ind w:left="1540" w:right="459" w:firstLine="329"/>
        <w:spacing w:after="0" w:line="266" w:lineRule="auto"/>
        <w:rPr>
          <w:sz w:val="20"/>
          <w:szCs w:val="20"/>
          <w:color w:val="auto"/>
        </w:rPr>
      </w:pPr>
      <w:r>
        <w:rPr>
          <w:rFonts w:ascii="Times New Roman" w:cs="Times New Roman" w:eastAsia="Times New Roman" w:hAnsi="Times New Roman"/>
          <w:sz w:val="13"/>
          <w:szCs w:val="13"/>
          <w:color w:val="auto"/>
        </w:rPr>
        <w:t>Cibus does not anticipate declaring or paying any cash dividends to holders of Cibus’ Class A Common Stock in the foreseeable future. However, distributions of cash or other property (other than certain distributions of stock) on the Class A Common Stock will constitute dividends to the extent paid out of Cibus’ current or accumulated earnings and profits, as determined for U.S. federal income tax purposes. Distributions in excess of Cibus’ current and accumulated earnings and profits will constitute a return of capital and first be applied against and reduce a Non-U.S. Holder’s adjusted tax basis in its Class A Common Stock, but not below zero. Any excess will be subject to the treatment as described below under “— Gain on the Sale, Exchange or Other Taxable Disposition of the Class A Common Stock.”</w:t>
      </w:r>
    </w:p>
    <w:p>
      <w:pPr>
        <w:spacing w:after="0" w:line="135" w:lineRule="exact"/>
        <w:rPr>
          <w:sz w:val="20"/>
          <w:szCs w:val="20"/>
          <w:color w:val="auto"/>
        </w:rPr>
      </w:pPr>
    </w:p>
    <w:p>
      <w:pPr>
        <w:ind w:left="1540" w:right="419" w:firstLine="329"/>
        <w:spacing w:after="0" w:line="263" w:lineRule="auto"/>
        <w:rPr>
          <w:sz w:val="20"/>
          <w:szCs w:val="20"/>
          <w:color w:val="auto"/>
        </w:rPr>
      </w:pPr>
      <w:r>
        <w:rPr>
          <w:rFonts w:ascii="Times New Roman" w:cs="Times New Roman" w:eastAsia="Times New Roman" w:hAnsi="Times New Roman"/>
          <w:sz w:val="13"/>
          <w:szCs w:val="13"/>
          <w:color w:val="auto"/>
        </w:rPr>
        <w:t>Dividends paid to a Non-U.S. Holder that are not effectively connected with the Non-U.S. Holder’s conduct of a trade or business in the United States generally will be subject to withholding tax at a 30-percent rate or a reduced rate specified by an applicable income tax treaty. In order to obtain a reduced rate of withholding, the Non-U.S. Holder will be required to provide Cibus or Cibus’ paying agent with a properly executed applicable IRS Form W-8BEN or IRS Form W-8BEN-E (or appropriate successor form), as applicable, certifying under penalties of perjury that the Non-U.S. Holder is not a U.S. person and is eligible for the benefits under the applicable income tax treaty. These forms may need to be periodically updated. If a Non-U.S. Holder holds the Class A Common Stock through a financial institution or other intermediary, the Non-U.S. Holder generally will be required to provide the appropriate documentation to the financial institution or other intermediary. A Non-U.S. Holder eligible for a reduced rate of U.S. withholding tax pursuant to an income tax treaty who fails to timely provide an IRS Form W-8BEN or W-8BEN-E (or appropriate successor form), as applicable, may obtain a refund of any excess amounts withheld by timely filing an appropriate claim with the IRS.</w:t>
      </w:r>
    </w:p>
    <w:p>
      <w:pPr>
        <w:spacing w:after="0" w:line="138" w:lineRule="exact"/>
        <w:rPr>
          <w:sz w:val="20"/>
          <w:szCs w:val="20"/>
          <w:color w:val="auto"/>
        </w:rPr>
      </w:pPr>
    </w:p>
    <w:p>
      <w:pPr>
        <w:ind w:left="1540" w:right="579" w:firstLine="329"/>
        <w:spacing w:after="0" w:line="297" w:lineRule="auto"/>
        <w:rPr>
          <w:sz w:val="20"/>
          <w:szCs w:val="20"/>
          <w:color w:val="auto"/>
        </w:rPr>
      </w:pPr>
      <w:r>
        <w:rPr>
          <w:rFonts w:ascii="Times New Roman" w:cs="Times New Roman" w:eastAsia="Times New Roman" w:hAnsi="Times New Roman"/>
          <w:sz w:val="13"/>
          <w:szCs w:val="13"/>
          <w:color w:val="auto"/>
        </w:rPr>
        <w:t>If dividends paid to a Non-U.S. Holder are effectively connected with the Non-U.S. Holder’s conduct of a trade or business in the United States (and, if required by an applicable income tax treaty, are attributable to a</w:t>
      </w:r>
    </w:p>
    <w:p>
      <w:pPr>
        <w:spacing w:after="0" w:line="6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29</w:t>
      </w:r>
    </w:p>
    <w:p>
      <w:pPr>
        <w:sectPr>
          <w:pgSz w:w="11900" w:h="16838" w:orient="portrait"/>
          <w:cols w:equalWidth="0" w:num="1">
            <w:col w:w="10159"/>
          </w:cols>
          <w:pgMar w:left="300" w:top="375" w:right="1440"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0">
                      <a:extLst>
                        <a:ext uri="{28A0092B-C50C-407E-A947-70E740481C1C}"/>
                      </a:extLst>
                    </a:blip>
                    <a:srcRect/>
                    <a:stretch>
                      <a:fillRect/>
                    </a:stretch>
                  </pic:blipFill>
                  <pic:spPr bwMode="auto">
                    <a:xfrm>
                      <a:off x="0" y="0"/>
                      <a:ext cx="7205345" cy="31750"/>
                    </a:xfrm>
                    <a:prstGeom prst="rect">
                      <a:avLst/>
                    </a:prstGeom>
                    <a:noFill/>
                  </pic:spPr>
                </pic:pic>
              </a:graphicData>
            </a:graphic>
          </wp:anchor>
        </w:drawing>
        <w:t>Table of Contents</w:t>
      </w:r>
    </w:p>
    <w:p>
      <w:pPr>
        <w:spacing w:after="0" w:line="248" w:lineRule="exact"/>
        <w:rPr>
          <w:sz w:val="20"/>
          <w:szCs w:val="20"/>
          <w:color w:val="auto"/>
        </w:rPr>
      </w:pPr>
    </w:p>
    <w:p>
      <w:pPr>
        <w:ind w:left="1540" w:right="419"/>
        <w:spacing w:after="0" w:line="263" w:lineRule="auto"/>
        <w:rPr>
          <w:sz w:val="20"/>
          <w:szCs w:val="20"/>
          <w:color w:val="auto"/>
        </w:rPr>
      </w:pPr>
      <w:r>
        <w:rPr>
          <w:rFonts w:ascii="Times New Roman" w:cs="Times New Roman" w:eastAsia="Times New Roman" w:hAnsi="Times New Roman"/>
          <w:sz w:val="13"/>
          <w:szCs w:val="13"/>
          <w:color w:val="auto"/>
        </w:rPr>
        <w:t>permanent establishment or fixed base maintained by the Non-U.S. Holder in the United States), the Non-U.S. Holder will generally be taxed on the dividends in the same manner as a U.S. person. In this case, the Non-U.S. Holder will be exempt from the withholding tax discussed in the preceding paragraph, although the Non-U.S. Holder will be required to provide a properly executed IRS Form W-8ECI (or appropriate successor form) in order to claim an exemption from withholding. Such effectively connected dividends, although not subject to U.S. federal withholding tax, are subject to U.S. federal income tax on a net income basis at the regular graduated U.S. federal income tax rates generally applicable to a U.S. person. Dividends received by a corporate Non-U.S. Holder that are effectively connected with such Non-U.S. Holder’s conduct of a trade or business in the United States (and, if required by an applicable income tax treaty, attributable to a permanent establishment or fixed base maintained by the Non-U.S. Holder in the United States) may be subject to an additional branch profits tax at a 30-percent rate (or such lower rate as may be specified by an applicable income tax treaty). Non-U.S. Holders should consult their tax advisors with respect to other U.S. tax consequences of the acquisition, ownership and disposition of the Class A Common Stock, including the possible imposition of the branch profits tax.</w:t>
      </w:r>
    </w:p>
    <w:p>
      <w:pPr>
        <w:spacing w:after="0" w:line="212"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3"/>
          <w:szCs w:val="13"/>
          <w:b w:val="1"/>
          <w:bCs w:val="1"/>
          <w:i w:val="1"/>
          <w:iCs w:val="1"/>
          <w:color w:val="auto"/>
        </w:rPr>
        <w:t>Gain on the Sale, Exchange or Other Taxable Disposition of the Class A Common Stock</w:t>
      </w:r>
    </w:p>
    <w:p>
      <w:pPr>
        <w:spacing w:after="0" w:line="96" w:lineRule="exact"/>
        <w:rPr>
          <w:sz w:val="20"/>
          <w:szCs w:val="20"/>
          <w:color w:val="auto"/>
        </w:rPr>
      </w:pPr>
    </w:p>
    <w:p>
      <w:pPr>
        <w:jc w:val="both"/>
        <w:ind w:left="1540" w:right="479" w:firstLine="329"/>
        <w:spacing w:after="0" w:line="291" w:lineRule="auto"/>
        <w:rPr>
          <w:sz w:val="20"/>
          <w:szCs w:val="20"/>
          <w:color w:val="auto"/>
        </w:rPr>
      </w:pPr>
      <w:r>
        <w:rPr>
          <w:rFonts w:ascii="Times New Roman" w:cs="Times New Roman" w:eastAsia="Times New Roman" w:hAnsi="Times New Roman"/>
          <w:sz w:val="13"/>
          <w:szCs w:val="13"/>
          <w:color w:val="auto"/>
        </w:rPr>
        <w:t>Subject to the discussions below under “—Information Reporting and Backup Withholding” and “—FATCA,” a Non-U.S. Holder generally will not be subject to U.S. federal income or withholding tax on gain realized on a sale, exchange or other taxable disposition of the Class A Common Stock unless:</w:t>
      </w:r>
    </w:p>
    <w:p>
      <w:pPr>
        <w:spacing w:after="0" w:line="212" w:lineRule="exact"/>
        <w:rPr>
          <w:sz w:val="20"/>
          <w:szCs w:val="20"/>
          <w:color w:val="auto"/>
        </w:rPr>
      </w:pPr>
    </w:p>
    <w:p>
      <w:pPr>
        <w:ind w:left="2260" w:right="579" w:hanging="325"/>
        <w:spacing w:after="0" w:line="278" w:lineRule="auto"/>
        <w:tabs>
          <w:tab w:leader="none" w:pos="2260" w:val="left"/>
        </w:tabs>
        <w:numPr>
          <w:ilvl w:val="0"/>
          <w:numId w:val="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gain is effectively connected with the Non-U.S. Holder’s conduct of a trade or business in the United States (and, if required by an applicable income tax treaty, is attributable to a permanent establishment or fixed base maintained by the Non-U.S. Holder in the United States),</w:t>
      </w:r>
    </w:p>
    <w:p>
      <w:pPr>
        <w:spacing w:after="0" w:line="54" w:lineRule="exact"/>
        <w:rPr>
          <w:rFonts w:ascii="Times New Roman" w:cs="Times New Roman" w:eastAsia="Times New Roman" w:hAnsi="Times New Roman"/>
          <w:sz w:val="13"/>
          <w:szCs w:val="13"/>
          <w:color w:val="auto"/>
        </w:rPr>
      </w:pPr>
    </w:p>
    <w:p>
      <w:pPr>
        <w:ind w:left="2260" w:right="759" w:hanging="325"/>
        <w:spacing w:after="0" w:line="297" w:lineRule="auto"/>
        <w:tabs>
          <w:tab w:leader="none" w:pos="2260" w:val="left"/>
        </w:tabs>
        <w:numPr>
          <w:ilvl w:val="0"/>
          <w:numId w:val="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Non-U.S. Holder is a nonresident alien individual present in the United States for 183 days or more during the taxable year of the disposition and certain other requirements are met; or</w:t>
      </w:r>
    </w:p>
    <w:p>
      <w:pPr>
        <w:spacing w:after="0" w:line="43" w:lineRule="exact"/>
        <w:rPr>
          <w:rFonts w:ascii="Times New Roman" w:cs="Times New Roman" w:eastAsia="Times New Roman" w:hAnsi="Times New Roman"/>
          <w:sz w:val="13"/>
          <w:szCs w:val="13"/>
          <w:color w:val="auto"/>
        </w:rPr>
      </w:pPr>
    </w:p>
    <w:p>
      <w:pPr>
        <w:jc w:val="both"/>
        <w:ind w:left="2260" w:right="639" w:hanging="325"/>
        <w:spacing w:after="0" w:line="278" w:lineRule="auto"/>
        <w:tabs>
          <w:tab w:leader="none" w:pos="2260" w:val="left"/>
        </w:tabs>
        <w:numPr>
          <w:ilvl w:val="0"/>
          <w:numId w:val="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Cibus is or has been a “United States real property holding corporation,” as defined in the Code, at any time within the five-year period ending on the date of disposition or the Non-U.S. Holder’s holding period, whichever period is shorter, and the Non-U.S. Holder is not eligible for an exemption under an applicable income tax treaty.</w:t>
      </w:r>
    </w:p>
    <w:p>
      <w:pPr>
        <w:spacing w:after="0" w:line="125" w:lineRule="exact"/>
        <w:rPr>
          <w:sz w:val="20"/>
          <w:szCs w:val="20"/>
          <w:color w:val="auto"/>
        </w:rPr>
      </w:pPr>
    </w:p>
    <w:p>
      <w:pPr>
        <w:jc w:val="both"/>
        <w:ind w:left="1540" w:right="579" w:firstLine="329"/>
        <w:spacing w:after="0" w:line="265" w:lineRule="auto"/>
        <w:rPr>
          <w:sz w:val="20"/>
          <w:szCs w:val="20"/>
          <w:color w:val="auto"/>
        </w:rPr>
      </w:pPr>
      <w:r>
        <w:rPr>
          <w:rFonts w:ascii="Times New Roman" w:cs="Times New Roman" w:eastAsia="Times New Roman" w:hAnsi="Times New Roman"/>
          <w:sz w:val="13"/>
          <w:szCs w:val="13"/>
          <w:color w:val="auto"/>
        </w:rPr>
        <w:t>Cibus believes that it is not, and does not anticipate becoming, a United States real property holding corporation. Even if Cibus is or has been a United States real property holding corporation during the specified testing period, as long as Cibus’ Class A Common Stock is regularly traded on an established securities market (such as the Nasdaq Capital Market) at any time during the calendar year in which the disposition occurs, a Non-U.S.</w:t>
      </w:r>
    </w:p>
    <w:p>
      <w:pPr>
        <w:spacing w:after="0" w:line="1" w:lineRule="exact"/>
        <w:rPr>
          <w:sz w:val="20"/>
          <w:szCs w:val="20"/>
          <w:color w:val="auto"/>
        </w:rPr>
      </w:pPr>
    </w:p>
    <w:p>
      <w:pPr>
        <w:ind w:left="1540" w:right="559"/>
        <w:spacing w:after="0" w:line="265" w:lineRule="auto"/>
        <w:rPr>
          <w:sz w:val="20"/>
          <w:szCs w:val="20"/>
          <w:color w:val="auto"/>
        </w:rPr>
      </w:pPr>
      <w:r>
        <w:rPr>
          <w:rFonts w:ascii="Times New Roman" w:cs="Times New Roman" w:eastAsia="Times New Roman" w:hAnsi="Times New Roman"/>
          <w:sz w:val="13"/>
          <w:szCs w:val="13"/>
          <w:color w:val="auto"/>
        </w:rPr>
        <w:t>Holder will not be subject to U.S. federal income tax on the disposition of the Class A Common Stock if the Non-U.S. Holder does not own or has not owned (actually or constructively) more than 5 percent of Cibus’ Class A Common Stock at any time during the shorter of the two periods mentioned above. Non-U.S. Holders are urged to consult their tax advisors regarding the application of this regularly traded exception, including the effect of holding warrants or other rights to acquire Class A Common Stock on the calculation of the 5-percent threshold.</w:t>
      </w:r>
    </w:p>
    <w:p>
      <w:pPr>
        <w:spacing w:after="0" w:line="134" w:lineRule="exact"/>
        <w:rPr>
          <w:sz w:val="20"/>
          <w:szCs w:val="20"/>
          <w:color w:val="auto"/>
        </w:rPr>
      </w:pPr>
    </w:p>
    <w:p>
      <w:pPr>
        <w:ind w:left="1540" w:right="419" w:firstLine="329"/>
        <w:spacing w:after="0" w:line="271" w:lineRule="auto"/>
        <w:rPr>
          <w:sz w:val="20"/>
          <w:szCs w:val="20"/>
          <w:color w:val="auto"/>
        </w:rPr>
      </w:pPr>
      <w:r>
        <w:rPr>
          <w:rFonts w:ascii="Times New Roman" w:cs="Times New Roman" w:eastAsia="Times New Roman" w:hAnsi="Times New Roman"/>
          <w:sz w:val="13"/>
          <w:szCs w:val="13"/>
          <w:color w:val="auto"/>
        </w:rPr>
        <w:t>In addition, although a 15% withholding tax generally applies to gross proceeds from the sale, exchange or other taxable disposition of the stock of a United States real property holding company, such 15% withholding tax generally will not apply to the disposition of the Class A Common Stock so long as Cibus’ Class A Common Stock is regularly traded on an established securities market. However, the exception described in the previous sentence may not apply to certain dispositions of the Class A Common Stock if the Non-U.S. Holder exceeds the 5-percent threshold mentioned above.</w:t>
      </w:r>
    </w:p>
    <w:p>
      <w:pPr>
        <w:spacing w:after="0" w:line="131" w:lineRule="exact"/>
        <w:rPr>
          <w:sz w:val="20"/>
          <w:szCs w:val="20"/>
          <w:color w:val="auto"/>
        </w:rPr>
      </w:pPr>
    </w:p>
    <w:p>
      <w:pPr>
        <w:ind w:left="1540" w:right="499" w:firstLine="329"/>
        <w:spacing w:after="0" w:line="297" w:lineRule="auto"/>
        <w:rPr>
          <w:sz w:val="20"/>
          <w:szCs w:val="20"/>
          <w:color w:val="auto"/>
        </w:rPr>
      </w:pPr>
      <w:r>
        <w:rPr>
          <w:rFonts w:ascii="Times New Roman" w:cs="Times New Roman" w:eastAsia="Times New Roman" w:hAnsi="Times New Roman"/>
          <w:sz w:val="13"/>
          <w:szCs w:val="13"/>
          <w:color w:val="auto"/>
        </w:rPr>
        <w:t>If a Non-U.S. Holder recognizes gain on a sale, exchange or other taxable disposition of the Class A Common Stock that is effectively connected with the Non-U.S. Holder’s conduct of a trade or business in the</w:t>
      </w:r>
    </w:p>
    <w:p>
      <w:pPr>
        <w:spacing w:after="0" w:line="6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30</w:t>
      </w:r>
    </w:p>
    <w:p>
      <w:pPr>
        <w:sectPr>
          <w:pgSz w:w="11900" w:h="16838" w:orient="portrait"/>
          <w:cols w:equalWidth="0" w:num="1">
            <w:col w:w="10159"/>
          </w:cols>
          <w:pgMar w:left="300" w:top="375" w:right="1440"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1">
                      <a:extLst>
                        <a:ext uri="{28A0092B-C50C-407E-A947-70E740481C1C}"/>
                      </a:extLst>
                    </a:blip>
                    <a:srcRect/>
                    <a:stretch>
                      <a:fillRect/>
                    </a:stretch>
                  </pic:blipFill>
                  <pic:spPr bwMode="auto">
                    <a:xfrm>
                      <a:off x="0" y="0"/>
                      <a:ext cx="7205345" cy="31750"/>
                    </a:xfrm>
                    <a:prstGeom prst="rect">
                      <a:avLst/>
                    </a:prstGeom>
                    <a:noFill/>
                  </pic:spPr>
                </pic:pic>
              </a:graphicData>
            </a:graphic>
          </wp:anchor>
        </w:drawing>
        <w:t>Table of Contents</w:t>
      </w:r>
    </w:p>
    <w:p>
      <w:pPr>
        <w:spacing w:after="0" w:line="248" w:lineRule="exact"/>
        <w:rPr>
          <w:sz w:val="20"/>
          <w:szCs w:val="20"/>
          <w:color w:val="auto"/>
        </w:rPr>
      </w:pPr>
    </w:p>
    <w:p>
      <w:pPr>
        <w:ind w:left="1540" w:right="459"/>
        <w:spacing w:after="0" w:line="266" w:lineRule="auto"/>
        <w:rPr>
          <w:sz w:val="20"/>
          <w:szCs w:val="20"/>
          <w:color w:val="auto"/>
        </w:rPr>
      </w:pPr>
      <w:r>
        <w:rPr>
          <w:rFonts w:ascii="Times New Roman" w:cs="Times New Roman" w:eastAsia="Times New Roman" w:hAnsi="Times New Roman"/>
          <w:sz w:val="13"/>
          <w:szCs w:val="13"/>
          <w:color w:val="auto"/>
        </w:rPr>
        <w:t>United States (and if required by an applicable income tax treaty, is attributable to a permanent establishment or fixed base maintained by the Non-U.S. Holder in the United States), the Non-U.S. Holder will generally be subject to U.S. federal income tax at the regular graduated U.S. federal income tax rates generally applicable to a U.S. person. If the Non-U.S. Holder is a corporation, the Non-U.S. Holder may also be subject to the branch profits tax at a 30-percent rate or such lower rate as may be specified by an applicable income tax treaty. Non-U.S. Holders should consult their tax advisors with respect to other U.S. tax consequences of the acquisition, ownership and disposition of the Class A Common Stock, including the possible imposition of the branch profits tax.</w:t>
      </w:r>
    </w:p>
    <w:p>
      <w:pPr>
        <w:spacing w:after="0" w:line="211"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3"/>
          <w:szCs w:val="13"/>
          <w:b w:val="1"/>
          <w:bCs w:val="1"/>
          <w:i w:val="1"/>
          <w:iCs w:val="1"/>
          <w:color w:val="auto"/>
        </w:rPr>
        <w:t>Information Reporting and Backup Withholding</w:t>
      </w:r>
    </w:p>
    <w:p>
      <w:pPr>
        <w:spacing w:after="0" w:line="96" w:lineRule="exact"/>
        <w:rPr>
          <w:sz w:val="20"/>
          <w:szCs w:val="20"/>
          <w:color w:val="auto"/>
        </w:rPr>
      </w:pPr>
    </w:p>
    <w:p>
      <w:pPr>
        <w:ind w:left="1540" w:right="439" w:firstLine="329"/>
        <w:spacing w:after="0" w:line="268" w:lineRule="auto"/>
        <w:rPr>
          <w:sz w:val="20"/>
          <w:szCs w:val="20"/>
          <w:color w:val="auto"/>
        </w:rPr>
      </w:pPr>
      <w:r>
        <w:rPr>
          <w:rFonts w:ascii="Times New Roman" w:cs="Times New Roman" w:eastAsia="Times New Roman" w:hAnsi="Times New Roman"/>
          <w:sz w:val="13"/>
          <w:szCs w:val="13"/>
          <w:color w:val="auto"/>
        </w:rPr>
        <w:t>Information returns will be filed with the IRS in connection with payments of dividends on the Class A Common Stock. Copies of the information returns reporting those dividends and withholding may also be made available to the tax authorities in the country in which a Non-U.S. Holder is a resident under the provisions of an applicable income tax treaty or agreement. Unless a Non-U.S. Holder complies with certification procedures to establish that the Non-U.S. Holder is not a U.S. person, information returns may also be filed with the IRS in connection with the proceeds from a sale, exchange or other taxable disposition of the Class A Common Stock to or through the U.S. office (and, in certain cases, the foreign office) of a broker.</w:t>
      </w:r>
    </w:p>
    <w:p>
      <w:pPr>
        <w:spacing w:after="0" w:line="133" w:lineRule="exact"/>
        <w:rPr>
          <w:sz w:val="20"/>
          <w:szCs w:val="20"/>
          <w:color w:val="auto"/>
        </w:rPr>
      </w:pPr>
    </w:p>
    <w:p>
      <w:pPr>
        <w:ind w:left="1540" w:right="439" w:firstLine="329"/>
        <w:spacing w:after="0" w:line="265" w:lineRule="auto"/>
        <w:rPr>
          <w:sz w:val="20"/>
          <w:szCs w:val="20"/>
          <w:color w:val="auto"/>
        </w:rPr>
      </w:pPr>
      <w:r>
        <w:rPr>
          <w:rFonts w:ascii="Times New Roman" w:cs="Times New Roman" w:eastAsia="Times New Roman" w:hAnsi="Times New Roman"/>
          <w:sz w:val="13"/>
          <w:szCs w:val="13"/>
          <w:color w:val="auto"/>
        </w:rPr>
        <w:t>A Non-U.S. Holder may be subject to backup withholding (currently at a rate of 24 percent) on payments on the Class A Common Stock or on the proceeds from a sale, exchange or other taxable disposition of the Class A Common Stock unless the Non-U.S. Holder complies with certification procedures to establish that the Non-U.S. Holder is not a U.S. person or otherwise establishes an exemption. Compliance with the certification procedures required to claim a reduced rate of withholding under a treaty (including properly certifying non-U.S. status on an IRS Form W-8BEN, IRS Form W-8BEN-E or other appropriate version of IRS Form W-8 (or appropriate successor form)) generally will satisfy the certification requirements necessary to avoid backup withholding as well. Notwithstanding the foregoing, U.S. federal backup withholding may apply if the payor has actual knowledge, or reason to know, that a holder is a U.S. person.</w:t>
      </w:r>
    </w:p>
    <w:p>
      <w:pPr>
        <w:spacing w:after="0" w:line="135" w:lineRule="exact"/>
        <w:rPr>
          <w:sz w:val="20"/>
          <w:szCs w:val="20"/>
          <w:color w:val="auto"/>
        </w:rPr>
      </w:pPr>
    </w:p>
    <w:p>
      <w:pPr>
        <w:ind w:left="1540" w:right="439" w:firstLine="329"/>
        <w:spacing w:after="0" w:line="268" w:lineRule="auto"/>
        <w:rPr>
          <w:sz w:val="20"/>
          <w:szCs w:val="20"/>
          <w:color w:val="auto"/>
        </w:rPr>
      </w:pPr>
      <w:r>
        <w:rPr>
          <w:rFonts w:ascii="Times New Roman" w:cs="Times New Roman" w:eastAsia="Times New Roman" w:hAnsi="Times New Roman"/>
          <w:sz w:val="13"/>
          <w:szCs w:val="13"/>
          <w:color w:val="auto"/>
        </w:rPr>
        <w:t>Backup withholding is not an additional tax. Any amounts withheld from a payment to a Non-U.S. Holder under the backup withholding rules generally will be allowed as a credit against such Non-U.S. Holder’s U.S. federal income tax liability and may entitle such Non-U.S. Holder to a refund, provided the required information is furnished to the IRS in a timely manner. Non-U.S. Holders are urged to consult their tax advisors regarding the application of backup withholding and the availability of and procedure for obtaining an exemption from backup withholding in their particular circumstances.</w:t>
      </w:r>
    </w:p>
    <w:p>
      <w:pPr>
        <w:spacing w:after="0" w:line="20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3"/>
          <w:szCs w:val="13"/>
          <w:b w:val="1"/>
          <w:bCs w:val="1"/>
          <w:color w:val="auto"/>
        </w:rPr>
        <w:t>FATCA</w:t>
      </w:r>
    </w:p>
    <w:p>
      <w:pPr>
        <w:spacing w:after="0" w:line="96" w:lineRule="exact"/>
        <w:rPr>
          <w:sz w:val="20"/>
          <w:szCs w:val="20"/>
          <w:color w:val="auto"/>
        </w:rPr>
      </w:pPr>
    </w:p>
    <w:p>
      <w:pPr>
        <w:ind w:left="1540" w:right="439" w:firstLine="329"/>
        <w:spacing w:after="0" w:line="262" w:lineRule="auto"/>
        <w:rPr>
          <w:sz w:val="20"/>
          <w:szCs w:val="20"/>
          <w:color w:val="auto"/>
        </w:rPr>
      </w:pPr>
      <w:r>
        <w:rPr>
          <w:rFonts w:ascii="Times New Roman" w:cs="Times New Roman" w:eastAsia="Times New Roman" w:hAnsi="Times New Roman"/>
          <w:sz w:val="13"/>
          <w:szCs w:val="13"/>
          <w:color w:val="auto"/>
        </w:rPr>
        <w:t>Provisions of the Code commonly referred to as “FATCA” generally require withholding of 30 percent on payments of dividends on the Class A Common Stock, as well as payments of gross proceeds of dispositions of the Class A Common Stock, to a “foreign financial institution” (which is broadly defined for this purpose and in general includes investment vehicles) and certain other non-U.S. entities unless various U.S. information reporting and due diligence requirements (generally relating to ownership by U.S. persons of interests in or accounts with those entities) have been satisfied or an exemption applies. However, the IRS has issued proposed U.S. Treasury regulations that eliminate FATCA withholding on payments of gross proceeds (but not on payments of dividends). Pursuant to the preamble to the proposed U.S. Treasury regulations, any applicable withholding agent may (but is not required to) rely on this proposed change to FATCA withholding until final U.S. Treasury regulations are issued or the proposed U.S. Treasury regulations are withdrawn. An intergovernmental agreement between the United States and an applicable foreign country may modify these requirements. If FATCA withholding is imposed, a beneficial owner that is not a foreign financial institution generally may obtain a refund of any amounts withheld by filing a U.S. federal income tax return (which may entail significant administrative burden). Non-U.S. Holders should consult their tax advisors regarding the effects of FATCA on their investments in the Class A Common Stock.</w:t>
      </w:r>
    </w:p>
    <w:p>
      <w:pPr>
        <w:spacing w:after="0" w:line="8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31</w:t>
      </w:r>
    </w:p>
    <w:p>
      <w:pPr>
        <w:sectPr>
          <w:pgSz w:w="11900" w:h="16838" w:orient="portrait"/>
          <w:cols w:equalWidth="0" w:num="1">
            <w:col w:w="10159"/>
          </w:cols>
          <w:pgMar w:left="300" w:top="375" w:right="1440"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2">
                      <a:extLst>
                        <a:ext uri="{28A0092B-C50C-407E-A947-70E740481C1C}"/>
                      </a:extLst>
                    </a:blip>
                    <a:srcRect/>
                    <a:stretch>
                      <a:fillRect/>
                    </a:stretch>
                  </pic:blipFill>
                  <pic:spPr bwMode="auto">
                    <a:xfrm>
                      <a:off x="0" y="0"/>
                      <a:ext cx="7205345" cy="31750"/>
                    </a:xfrm>
                    <a:prstGeom prst="rect">
                      <a:avLst/>
                    </a:prstGeom>
                    <a:noFill/>
                  </pic:spPr>
                </pic:pic>
              </a:graphicData>
            </a:graphic>
          </wp:anchor>
        </w:drawing>
        <w:t>Table of Contents</w:t>
      </w:r>
    </w:p>
    <w:p>
      <w:pPr>
        <w:spacing w:after="0" w:line="248"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3"/>
          <w:szCs w:val="13"/>
          <w:color w:val="auto"/>
        </w:rPr>
        <w:t>Cibus will not pay any additional amounts to Non-U.S. Holders with respect to any amounts withheld, including pursuant to FATCA.</w:t>
      </w:r>
    </w:p>
    <w:p>
      <w:pPr>
        <w:spacing w:after="0" w:line="169" w:lineRule="exact"/>
        <w:rPr>
          <w:sz w:val="20"/>
          <w:szCs w:val="20"/>
          <w:color w:val="auto"/>
        </w:rPr>
      </w:pPr>
    </w:p>
    <w:p>
      <w:pPr>
        <w:ind w:left="1540" w:right="479" w:firstLine="329"/>
        <w:spacing w:after="0" w:line="273" w:lineRule="auto"/>
        <w:rPr>
          <w:sz w:val="20"/>
          <w:szCs w:val="20"/>
          <w:color w:val="auto"/>
        </w:rPr>
      </w:pPr>
      <w:r>
        <w:rPr>
          <w:rFonts w:ascii="Times New Roman" w:cs="Times New Roman" w:eastAsia="Times New Roman" w:hAnsi="Times New Roman"/>
          <w:sz w:val="13"/>
          <w:szCs w:val="13"/>
          <w:b w:val="1"/>
          <w:bCs w:val="1"/>
          <w:color w:val="auto"/>
        </w:rPr>
        <w:t>THE PRECEDING DISCUSSION OF U.S. FEDERAL TAX CONSIDERATIONS IS FOR GENERAL INFORMATION ONLY. IT IS NOT TAX ADVICE. PROSPECTIVE INVESTORS SHOULD CONSULT THEIR TAX ADVISORS REGARDING THE PARTICULAR U.S. FEDERAL, STATE AND LOCAL AND NON-U.S. TAX CONSEQUENCES OF PURCHASING, OWNING AND DISPOSING OF THE CLASS A COMMON STOCK, INCLUDING THE CONSEQUENCES OF ANY PROPOSED CHANGE IN APPLICABLE LAWS.</w:t>
      </w:r>
    </w:p>
    <w:p>
      <w:pPr>
        <w:spacing w:after="0" w:line="8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32</w:t>
      </w:r>
    </w:p>
    <w:p>
      <w:pPr>
        <w:sectPr>
          <w:pgSz w:w="11900" w:h="16838" w:orient="portrait"/>
          <w:cols w:equalWidth="0" w:num="1">
            <w:col w:w="10159"/>
          </w:cols>
          <w:pgMar w:left="300" w:top="375" w:right="1440"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3">
                      <a:extLst>
                        <a:ext uri="{28A0092B-C50C-407E-A947-70E740481C1C}"/>
                      </a:extLst>
                    </a:blip>
                    <a:srcRect/>
                    <a:stretch>
                      <a:fillRect/>
                    </a:stretch>
                  </pic:blipFill>
                  <pic:spPr bwMode="auto">
                    <a:xfrm>
                      <a:off x="0" y="0"/>
                      <a:ext cx="7205345" cy="31750"/>
                    </a:xfrm>
                    <a:prstGeom prst="rect">
                      <a:avLst/>
                    </a:prstGeom>
                    <a:noFill/>
                  </pic:spPr>
                </pic:pic>
              </a:graphicData>
            </a:graphic>
          </wp:anchor>
        </w:drawing>
        <w:t>Table of Contents</w:t>
      </w:r>
    </w:p>
    <w:p>
      <w:pPr>
        <w:spacing w:after="0" w:line="244"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3"/>
          <w:szCs w:val="13"/>
          <w:b w:val="1"/>
          <w:bCs w:val="1"/>
          <w:color w:val="auto"/>
        </w:rPr>
        <w:t>LEGAL MATTERS</w:t>
      </w:r>
    </w:p>
    <w:p>
      <w:pPr>
        <w:spacing w:after="0" w:line="96"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3"/>
          <w:szCs w:val="13"/>
          <w:color w:val="auto"/>
        </w:rPr>
        <w:t>Jones Day, New York, New York, has passed upon the validity of the Class A Common Stock offered hereby.</w:t>
      </w:r>
    </w:p>
    <w:p>
      <w:pPr>
        <w:spacing w:after="0" w:line="33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EXPERTS</w:t>
      </w:r>
    </w:p>
    <w:p>
      <w:pPr>
        <w:spacing w:after="0" w:line="177" w:lineRule="exact"/>
        <w:rPr>
          <w:sz w:val="20"/>
          <w:szCs w:val="20"/>
          <w:color w:val="auto"/>
        </w:rPr>
      </w:pPr>
    </w:p>
    <w:p>
      <w:pPr>
        <w:ind w:left="1540" w:right="459" w:firstLine="329"/>
        <w:spacing w:after="0" w:line="271" w:lineRule="auto"/>
        <w:rPr>
          <w:sz w:val="20"/>
          <w:szCs w:val="20"/>
          <w:color w:val="auto"/>
        </w:rPr>
      </w:pPr>
      <w:r>
        <w:rPr>
          <w:rFonts w:ascii="Times New Roman" w:cs="Times New Roman" w:eastAsia="Times New Roman" w:hAnsi="Times New Roman"/>
          <w:sz w:val="13"/>
          <w:szCs w:val="13"/>
          <w:color w:val="auto"/>
        </w:rPr>
        <w:t>The consolidated financial statements of Cibus, Inc. (the Company) as of December 31, 2025 and 2024, and for the years then ended incorporated by reference in this prospectus, have been so incorporated in reliance upon the report of BDO USA, P.C., an independent registered public accounting firm, given on the authority of said firm as experts in auditing and accounting. The report on the consolidated financial statements contains an explanatory paragraph regarding the Company’s ability to continue as a going concern.</w:t>
      </w:r>
    </w:p>
    <w:p>
      <w:pPr>
        <w:spacing w:after="0" w:line="8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33</w:t>
      </w:r>
    </w:p>
    <w:p>
      <w:pPr>
        <w:sectPr>
          <w:pgSz w:w="11900" w:h="16838" w:orient="portrait"/>
          <w:cols w:equalWidth="0" w:num="1">
            <w:col w:w="10159"/>
          </w:cols>
          <w:pgMar w:left="300" w:top="375" w:right="1440"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4">
                      <a:extLst>
                        <a:ext uri="{28A0092B-C50C-407E-A947-70E740481C1C}"/>
                      </a:extLst>
                    </a:blip>
                    <a:srcRect/>
                    <a:stretch>
                      <a:fillRect/>
                    </a:stretch>
                  </pic:blipFill>
                  <pic:spPr bwMode="auto">
                    <a:xfrm>
                      <a:off x="0" y="0"/>
                      <a:ext cx="7205345" cy="31750"/>
                    </a:xfrm>
                    <a:prstGeom prst="rect">
                      <a:avLst/>
                    </a:prstGeom>
                    <a:noFill/>
                  </pic:spPr>
                </pic:pic>
              </a:graphicData>
            </a:graphic>
          </wp:anchor>
        </w:drawing>
        <w:t>Table of Contents</w:t>
      </w:r>
    </w:p>
    <w:p>
      <w:pPr>
        <w:spacing w:after="0" w:line="244"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3"/>
          <w:szCs w:val="13"/>
          <w:b w:val="1"/>
          <w:bCs w:val="1"/>
          <w:color w:val="auto"/>
        </w:rPr>
        <w:t>WHERE YOU CAN FIND ADDITIONAL INFORMATION</w:t>
      </w:r>
    </w:p>
    <w:p>
      <w:pPr>
        <w:spacing w:after="0" w:line="177" w:lineRule="exact"/>
        <w:rPr>
          <w:sz w:val="20"/>
          <w:szCs w:val="20"/>
          <w:color w:val="auto"/>
        </w:rPr>
      </w:pPr>
    </w:p>
    <w:p>
      <w:pPr>
        <w:ind w:left="1540" w:right="579" w:firstLine="329"/>
        <w:spacing w:after="0" w:line="265" w:lineRule="auto"/>
        <w:rPr>
          <w:sz w:val="20"/>
          <w:szCs w:val="20"/>
          <w:color w:val="auto"/>
        </w:rPr>
      </w:pPr>
      <w:r>
        <w:rPr>
          <w:rFonts w:ascii="Times New Roman" w:cs="Times New Roman" w:eastAsia="Times New Roman" w:hAnsi="Times New Roman"/>
          <w:sz w:val="13"/>
          <w:szCs w:val="13"/>
          <w:color w:val="auto"/>
        </w:rPr>
        <w:t>Cibus filed with the SEC a registration statement on Form S-3 under the Securities Act with respect to the securities offered hereby. This prospectus and the accompanying prospectus, which constitutes a part of the registration statement, does not contain all of the information set forth in the registration statement or the exhibits filed with the registration statement. For further information about Cibus and the securities offered hereby, Cibus refers you to the registration statement and the exhibits filed with the registration statement. Statements contained in this prospectus and the accompanying prospectus regarding the contents of any contract or any other document that is filed as an exhibit to the registration statement are not necessarily complete, and each such statement is qualified in all respects by reference to the full text of such contract or other document filed as an exhibit to the registration statement.</w:t>
      </w:r>
    </w:p>
    <w:p>
      <w:pPr>
        <w:spacing w:after="0" w:line="135" w:lineRule="exact"/>
        <w:rPr>
          <w:sz w:val="20"/>
          <w:szCs w:val="20"/>
          <w:color w:val="auto"/>
        </w:rPr>
      </w:pPr>
    </w:p>
    <w:p>
      <w:pPr>
        <w:ind w:left="1540" w:right="499" w:firstLine="329"/>
        <w:spacing w:after="0" w:line="278" w:lineRule="auto"/>
        <w:rPr>
          <w:sz w:val="20"/>
          <w:szCs w:val="20"/>
          <w:color w:val="auto"/>
        </w:rPr>
      </w:pPr>
      <w:r>
        <w:rPr>
          <w:rFonts w:ascii="Times New Roman" w:cs="Times New Roman" w:eastAsia="Times New Roman" w:hAnsi="Times New Roman"/>
          <w:sz w:val="13"/>
          <w:szCs w:val="13"/>
          <w:color w:val="auto"/>
        </w:rPr>
        <w:t>Cibus is subject to the information and reporting requirements of the Exchange Act and, in accordance with this law, is required to file periodic reports, proxy statements and other information with the SEC. Cibus files annual, quarterly and current reports, proxy statements and other information with the SEC. Cibus’ SEC filings are available to the public at the SEC’s website at http://www.sec.gov.</w:t>
      </w:r>
    </w:p>
    <w:p>
      <w:pPr>
        <w:spacing w:after="0" w:line="125" w:lineRule="exact"/>
        <w:rPr>
          <w:sz w:val="20"/>
          <w:szCs w:val="20"/>
          <w:color w:val="auto"/>
        </w:rPr>
      </w:pPr>
    </w:p>
    <w:p>
      <w:pPr>
        <w:ind w:left="1540" w:right="559" w:firstLine="329"/>
        <w:spacing w:after="0" w:line="271" w:lineRule="auto"/>
        <w:rPr>
          <w:sz w:val="20"/>
          <w:szCs w:val="20"/>
          <w:color w:val="auto"/>
        </w:rPr>
      </w:pPr>
      <w:r>
        <w:rPr>
          <w:rFonts w:ascii="Times New Roman" w:cs="Times New Roman" w:eastAsia="Times New Roman" w:hAnsi="Times New Roman"/>
          <w:sz w:val="13"/>
          <w:szCs w:val="13"/>
          <w:color w:val="auto"/>
        </w:rPr>
        <w:t>Cibus makes available free of charge, on or through the investor relations section of Cibus’ website, Annual Reports on Form 10-K, Quarterly Reports on Form 10-Q, Current Reports on Form 8-K and amendments to those reports filed or furnished pursuant to Section 13(a) or 15(d) of the Exchange Act as soon as reasonably practicable after the Company electronically files such material with, or furnishes it to, the SEC. The information found on Cibus’ website, www.cibus.com, other than as specifically incorporated by reference in this prospectus, is not part of this prospectus.</w:t>
      </w:r>
    </w:p>
    <w:p>
      <w:pPr>
        <w:spacing w:after="0" w:line="8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34</w:t>
      </w:r>
    </w:p>
    <w:p>
      <w:pPr>
        <w:sectPr>
          <w:pgSz w:w="11900" w:h="16838" w:orient="portrait"/>
          <w:cols w:equalWidth="0" w:num="1">
            <w:col w:w="10159"/>
          </w:cols>
          <w:pgMar w:left="300" w:top="375" w:right="1440"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5">
                      <a:extLst>
                        <a:ext uri="{28A0092B-C50C-407E-A947-70E740481C1C}"/>
                      </a:extLst>
                    </a:blip>
                    <a:srcRect/>
                    <a:stretch>
                      <a:fillRect/>
                    </a:stretch>
                  </pic:blipFill>
                  <pic:spPr bwMode="auto">
                    <a:xfrm>
                      <a:off x="0" y="0"/>
                      <a:ext cx="7205345" cy="31750"/>
                    </a:xfrm>
                    <a:prstGeom prst="rect">
                      <a:avLst/>
                    </a:prstGeom>
                    <a:noFill/>
                  </pic:spPr>
                </pic:pic>
              </a:graphicData>
            </a:graphic>
          </wp:anchor>
        </w:drawing>
        <w:t>Table of Contents</w:t>
      </w:r>
    </w:p>
    <w:p>
      <w:pPr>
        <w:spacing w:after="0" w:line="24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INCORPORATION OF CERTAIN INFORMATION BY REFERENCE</w:t>
      </w:r>
    </w:p>
    <w:p>
      <w:pPr>
        <w:spacing w:after="0" w:line="177" w:lineRule="exact"/>
        <w:rPr>
          <w:sz w:val="20"/>
          <w:szCs w:val="20"/>
          <w:color w:val="auto"/>
        </w:rPr>
      </w:pPr>
    </w:p>
    <w:p>
      <w:pPr>
        <w:ind w:left="1540" w:right="459" w:firstLine="329"/>
        <w:spacing w:after="0" w:line="262" w:lineRule="auto"/>
        <w:rPr>
          <w:sz w:val="20"/>
          <w:szCs w:val="20"/>
          <w:color w:val="auto"/>
        </w:rPr>
      </w:pPr>
      <w:r>
        <w:rPr>
          <w:rFonts w:ascii="Times New Roman" w:cs="Times New Roman" w:eastAsia="Times New Roman" w:hAnsi="Times New Roman"/>
          <w:sz w:val="13"/>
          <w:szCs w:val="13"/>
          <w:color w:val="auto"/>
        </w:rPr>
        <w:t>The SEC allows Cibus to “incorporate by reference” information that Cibus files with them. Incorporation by reference allows Cibus to disclose important information to you by referring you to those other documents. The information incorporated by reference is an important part of this prospectus, and information that Cibus files later with the SEC will automatically update and supersede this information. Cibus filed a registration statement on Form S-3 under the Securities Act, with the SEC with respect to the securities being offered pursuant to this prospectus. This prospectus omits certain information contained in the registration statement, as permitted by the SEC. You should refer to the registration statement, including the exhibits, for further information about Cibus and the securities being offered pursuant to this prospectus. Statements in this prospectus regarding the provisions of certain documents filed with, or incorporated by reference in, the registration statement are not necessarily complete and each statement is qualified in all respects by that reference. Copies of all or any part of the registration statement, including the documents incorporated by reference or the exhibits, may be obtained upon payment of the prescribed rates at the offices of the SEC listed above in “Where You Can Find Additional Information.” The documents Cibus is incorporating by reference are (other than those documents or the portions of those documents not deemed to be filed):</w:t>
      </w:r>
    </w:p>
    <w:p>
      <w:pPr>
        <w:spacing w:after="0" w:line="232" w:lineRule="exact"/>
        <w:rPr>
          <w:sz w:val="20"/>
          <w:szCs w:val="20"/>
          <w:color w:val="auto"/>
        </w:rPr>
      </w:pPr>
    </w:p>
    <w:p>
      <w:pPr>
        <w:ind w:left="2260" w:hanging="325"/>
        <w:spacing w:after="0"/>
        <w:tabs>
          <w:tab w:leader="none" w:pos="2260" w:val="left"/>
        </w:tabs>
        <w:numPr>
          <w:ilvl w:val="0"/>
          <w:numId w:val="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Company’s Annual Report on </w:t>
      </w:r>
      <w:hyperlink r:id="rId50">
        <w:r>
          <w:rPr>
            <w:rFonts w:ascii="Times New Roman" w:cs="Times New Roman" w:eastAsia="Times New Roman" w:hAnsi="Times New Roman"/>
            <w:sz w:val="13"/>
            <w:szCs w:val="13"/>
            <w:u w:val="single" w:color="auto"/>
            <w:color w:val="0000EE"/>
          </w:rPr>
          <w:t>Form 10-K</w:t>
        </w:r>
        <w:r>
          <w:rPr>
            <w:rFonts w:ascii="Times New Roman" w:cs="Times New Roman" w:eastAsia="Times New Roman" w:hAnsi="Times New Roman"/>
            <w:sz w:val="13"/>
            <w:szCs w:val="13"/>
            <w:u w:val="single" w:color="auto"/>
            <w:color w:val="auto"/>
          </w:rPr>
          <w:t xml:space="preserve"> </w:t>
        </w:r>
      </w:hyperlink>
      <w:r>
        <w:rPr>
          <w:rFonts w:ascii="Times New Roman" w:cs="Times New Roman" w:eastAsia="Times New Roman" w:hAnsi="Times New Roman"/>
          <w:sz w:val="13"/>
          <w:szCs w:val="13"/>
          <w:color w:val="auto"/>
        </w:rPr>
        <w:t>for the fiscal year ended December 31, 2025, filed with the SEC on March 17, 2026;</w:t>
      </w:r>
    </w:p>
    <w:p>
      <w:pPr>
        <w:spacing w:after="0" w:line="102" w:lineRule="exact"/>
        <w:rPr>
          <w:rFonts w:ascii="Times New Roman" w:cs="Times New Roman" w:eastAsia="Times New Roman" w:hAnsi="Times New Roman"/>
          <w:sz w:val="13"/>
          <w:szCs w:val="13"/>
          <w:color w:val="auto"/>
        </w:rPr>
      </w:pPr>
    </w:p>
    <w:p>
      <w:pPr>
        <w:ind w:left="2260" w:hanging="325"/>
        <w:spacing w:after="0"/>
        <w:tabs>
          <w:tab w:leader="none" w:pos="2260" w:val="left"/>
        </w:tabs>
        <w:numPr>
          <w:ilvl w:val="0"/>
          <w:numId w:val="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Company’s Quarterly Report on </w:t>
      </w:r>
      <w:hyperlink r:id="rId51">
        <w:r>
          <w:rPr>
            <w:rFonts w:ascii="Times New Roman" w:cs="Times New Roman" w:eastAsia="Times New Roman" w:hAnsi="Times New Roman"/>
            <w:sz w:val="13"/>
            <w:szCs w:val="13"/>
            <w:u w:val="single" w:color="auto"/>
            <w:color w:val="0000EE"/>
          </w:rPr>
          <w:t>Form 10-Q</w:t>
        </w:r>
        <w:r>
          <w:rPr>
            <w:rFonts w:ascii="Times New Roman" w:cs="Times New Roman" w:eastAsia="Times New Roman" w:hAnsi="Times New Roman"/>
            <w:sz w:val="13"/>
            <w:szCs w:val="13"/>
            <w:u w:val="single" w:color="auto"/>
            <w:color w:val="auto"/>
          </w:rPr>
          <w:t xml:space="preserve"> </w:t>
        </w:r>
      </w:hyperlink>
      <w:r>
        <w:rPr>
          <w:rFonts w:ascii="Times New Roman" w:cs="Times New Roman" w:eastAsia="Times New Roman" w:hAnsi="Times New Roman"/>
          <w:sz w:val="13"/>
          <w:szCs w:val="13"/>
          <w:color w:val="auto"/>
        </w:rPr>
        <w:t>for the period ended March 31, 2026, filed with the SEC on May 14, 2026;</w:t>
      </w:r>
    </w:p>
    <w:p>
      <w:pPr>
        <w:spacing w:after="0" w:line="102" w:lineRule="exact"/>
        <w:rPr>
          <w:rFonts w:ascii="Times New Roman" w:cs="Times New Roman" w:eastAsia="Times New Roman" w:hAnsi="Times New Roman"/>
          <w:sz w:val="13"/>
          <w:szCs w:val="13"/>
          <w:color w:val="auto"/>
        </w:rPr>
      </w:pPr>
    </w:p>
    <w:p>
      <w:pPr>
        <w:ind w:left="2260" w:right="419" w:hanging="325"/>
        <w:spacing w:after="0" w:line="297" w:lineRule="auto"/>
        <w:tabs>
          <w:tab w:leader="none" w:pos="2260" w:val="left"/>
        </w:tabs>
        <w:numPr>
          <w:ilvl w:val="0"/>
          <w:numId w:val="33"/>
        </w:numPr>
        <w:rPr>
          <w:rFonts w:ascii="Times New Roman" w:cs="Times New Roman" w:eastAsia="Times New Roman" w:hAnsi="Times New Roman"/>
          <w:sz w:val="13"/>
          <w:szCs w:val="13"/>
          <w:color w:val="0000EE"/>
        </w:rPr>
      </w:pPr>
      <w:hyperlink r:id="rId52">
        <w:r>
          <w:rPr>
            <w:rFonts w:ascii="Times New Roman" w:cs="Times New Roman" w:eastAsia="Times New Roman" w:hAnsi="Times New Roman"/>
            <w:sz w:val="13"/>
            <w:szCs w:val="13"/>
            <w:color w:val="auto"/>
          </w:rPr>
          <w:t xml:space="preserve">the Company’s Current Reports on Form 8-K filed on </w:t>
        </w:r>
        <w:r>
          <w:rPr>
            <w:rFonts w:ascii="Times New Roman" w:cs="Times New Roman" w:eastAsia="Times New Roman" w:hAnsi="Times New Roman"/>
            <w:sz w:val="13"/>
            <w:szCs w:val="13"/>
            <w:u w:val="single" w:color="auto"/>
            <w:color w:val="0000EE"/>
          </w:rPr>
          <w:t>January 6, 2026</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0000EE"/>
          </w:rPr>
          <w:t>January 28, 2026</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0000EE"/>
          </w:rPr>
          <w:t>January 30, 2026</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0000EE"/>
          </w:rPr>
          <w:t>March 27, 2026</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0000EE"/>
          </w:rPr>
          <w:t>April 10,</w:t>
        </w:r>
      </w:hyperlink>
      <w:r>
        <w:rPr>
          <w:rFonts w:ascii="Times New Roman" w:cs="Times New Roman" w:eastAsia="Times New Roman" w:hAnsi="Times New Roman"/>
          <w:sz w:val="13"/>
          <w:szCs w:val="13"/>
          <w:color w:val="auto"/>
        </w:rPr>
        <w:t xml:space="preserve"> </w:t>
      </w:r>
      <w:hyperlink r:id="rId52">
        <w:r>
          <w:rPr>
            <w:rFonts w:ascii="Times New Roman" w:cs="Times New Roman" w:eastAsia="Times New Roman" w:hAnsi="Times New Roman"/>
            <w:sz w:val="13"/>
            <w:szCs w:val="13"/>
            <w:u w:val="single" w:color="auto"/>
            <w:color w:val="0000EE"/>
          </w:rPr>
          <w:t>2026</w:t>
        </w:r>
        <w:r>
          <w:rPr>
            <w:rFonts w:ascii="Times New Roman" w:cs="Times New Roman" w:eastAsia="Times New Roman" w:hAnsi="Times New Roman"/>
            <w:sz w:val="13"/>
            <w:szCs w:val="13"/>
            <w:color w:val="0000EE"/>
          </w:rPr>
          <w:t xml:space="preserve"> </w:t>
        </w:r>
        <w:r>
          <w:rPr>
            <w:rFonts w:ascii="Times New Roman" w:cs="Times New Roman" w:eastAsia="Times New Roman" w:hAnsi="Times New Roman"/>
            <w:sz w:val="13"/>
            <w:szCs w:val="13"/>
            <w:color w:val="000000"/>
          </w:rPr>
          <w:t>(in each case, excluding any information furnished and not filed with the SEC); and</w:t>
        </w:r>
      </w:hyperlink>
    </w:p>
    <w:p>
      <w:pPr>
        <w:spacing w:after="0" w:line="43" w:lineRule="exact"/>
        <w:rPr>
          <w:rFonts w:ascii="Times New Roman" w:cs="Times New Roman" w:eastAsia="Times New Roman" w:hAnsi="Times New Roman"/>
          <w:sz w:val="13"/>
          <w:szCs w:val="13"/>
          <w:color w:val="0000EE"/>
        </w:rPr>
      </w:pPr>
    </w:p>
    <w:p>
      <w:pPr>
        <w:jc w:val="both"/>
        <w:ind w:left="2260" w:right="459" w:hanging="325"/>
        <w:spacing w:after="0" w:line="278" w:lineRule="auto"/>
        <w:tabs>
          <w:tab w:leader="none" w:pos="2260" w:val="left"/>
        </w:tabs>
        <w:numPr>
          <w:ilvl w:val="0"/>
          <w:numId w:val="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description of Cibus’ Class A Common Stock contained in Cibus’ Registration Statement on </w:t>
      </w:r>
      <w:hyperlink r:id="rId53">
        <w:r>
          <w:rPr>
            <w:rFonts w:ascii="Times New Roman" w:cs="Times New Roman" w:eastAsia="Times New Roman" w:hAnsi="Times New Roman"/>
            <w:sz w:val="13"/>
            <w:szCs w:val="13"/>
            <w:u w:val="single" w:color="auto"/>
            <w:color w:val="0000EE"/>
          </w:rPr>
          <w:t>Form 8-A</w:t>
        </w:r>
      </w:hyperlink>
      <w:r>
        <w:rPr>
          <w:rFonts w:ascii="Times New Roman" w:cs="Times New Roman" w:eastAsia="Times New Roman" w:hAnsi="Times New Roman"/>
          <w:sz w:val="13"/>
          <w:szCs w:val="13"/>
          <w:color w:val="auto"/>
        </w:rPr>
        <w:t xml:space="preserve">, filed on July 20, 2017, as the description therein has been updated and superseded by the description of capital stock contained in </w:t>
      </w:r>
      <w:hyperlink r:id="rId54">
        <w:r>
          <w:rPr>
            <w:rFonts w:ascii="Times New Roman" w:cs="Times New Roman" w:eastAsia="Times New Roman" w:hAnsi="Times New Roman"/>
            <w:sz w:val="13"/>
            <w:szCs w:val="13"/>
            <w:u w:val="single" w:color="auto"/>
            <w:color w:val="0000EE"/>
          </w:rPr>
          <w:t>Exhibit 99.1</w:t>
        </w:r>
        <w:r>
          <w:rPr>
            <w:rFonts w:ascii="Times New Roman" w:cs="Times New Roman" w:eastAsia="Times New Roman" w:hAnsi="Times New Roman"/>
            <w:sz w:val="13"/>
            <w:szCs w:val="13"/>
            <w:u w:val="single" w:color="auto"/>
            <w:color w:val="auto"/>
          </w:rPr>
          <w:t xml:space="preserve"> </w:t>
        </w:r>
      </w:hyperlink>
      <w:r>
        <w:rPr>
          <w:rFonts w:ascii="Times New Roman" w:cs="Times New Roman" w:eastAsia="Times New Roman" w:hAnsi="Times New Roman"/>
          <w:sz w:val="13"/>
          <w:szCs w:val="13"/>
          <w:color w:val="auto"/>
        </w:rPr>
        <w:t>to Cibus’ Current Report on Form 8-K filed with the SEC on June 29, 2023, including any amendments or reports filed for the purpose of updating the description.</w:t>
      </w:r>
    </w:p>
    <w:p>
      <w:pPr>
        <w:spacing w:after="0" w:line="125" w:lineRule="exact"/>
        <w:rPr>
          <w:rFonts w:ascii="Times New Roman" w:cs="Times New Roman" w:eastAsia="Times New Roman" w:hAnsi="Times New Roman"/>
          <w:sz w:val="13"/>
          <w:szCs w:val="13"/>
          <w:color w:val="auto"/>
        </w:rPr>
      </w:pPr>
    </w:p>
    <w:p>
      <w:pPr>
        <w:ind w:left="1540" w:right="419" w:firstLine="329"/>
        <w:spacing w:after="0" w:line="265" w:lineRule="auto"/>
        <w:rPr>
          <w:sz w:val="20"/>
          <w:szCs w:val="20"/>
          <w:color w:val="auto"/>
        </w:rPr>
      </w:pPr>
      <w:r>
        <w:rPr>
          <w:rFonts w:ascii="Times New Roman" w:cs="Times New Roman" w:eastAsia="Times New Roman" w:hAnsi="Times New Roman"/>
          <w:sz w:val="13"/>
          <w:szCs w:val="13"/>
          <w:color w:val="auto"/>
        </w:rPr>
        <w:t>Cibus also incorporates by reference any future filings (other than, in each case, documents (or portions thereof) or information deemed to have been “furnished” and not “filed” in accordance with SEC rules, including current reports furnished under Item 2.02 or Item 7.01 of Form 8-K and exhibits filed on such form that are related to such items unless such Form 8-K expressly provides to the contrary) made with the SEC pursuant to Sections 13(a), 13(c), 14 or 15(d) of the Exchange Act, including those made after the date of this prospectus. Information in such future filings updates and supplements the information provided in this prospectus. Any statements in any such future filings will automatically be deemed to modify and supersede any information in any document Cibus previously filed with the SEC that is incorporated or deemed to be incorporated herein by reference to the extent that statements in the later filed document modify or replace such earlier statements.</w:t>
      </w:r>
    </w:p>
    <w:p>
      <w:pPr>
        <w:spacing w:after="0" w:line="135" w:lineRule="exact"/>
        <w:rPr>
          <w:rFonts w:ascii="Times New Roman" w:cs="Times New Roman" w:eastAsia="Times New Roman" w:hAnsi="Times New Roman"/>
          <w:sz w:val="13"/>
          <w:szCs w:val="13"/>
          <w:color w:val="auto"/>
        </w:rPr>
      </w:pPr>
    </w:p>
    <w:p>
      <w:pPr>
        <w:ind w:left="1540" w:right="419" w:firstLine="329"/>
        <w:spacing w:after="0" w:line="278" w:lineRule="auto"/>
        <w:rPr>
          <w:sz w:val="20"/>
          <w:szCs w:val="20"/>
          <w:color w:val="auto"/>
        </w:rPr>
      </w:pPr>
      <w:r>
        <w:rPr>
          <w:rFonts w:ascii="Times New Roman" w:cs="Times New Roman" w:eastAsia="Times New Roman" w:hAnsi="Times New Roman"/>
          <w:sz w:val="13"/>
          <w:szCs w:val="13"/>
          <w:color w:val="auto"/>
        </w:rPr>
        <w:t>Upon request, Cibus will provide, without charge, to each person, including any beneficial owner, to whom a copy of this prospectus is delivered a copy of the documents incorporated by reference into this prospectus. You may request a copy of these filings, and any exhibits Cibus has specifically incorporated by reference as an exhibit in this prospectus, at no cost by writing or telephoning Cibus at the following:</w:t>
      </w:r>
    </w:p>
    <w:p>
      <w:pPr>
        <w:spacing w:after="0" w:line="45" w:lineRule="exact"/>
        <w:rPr>
          <w:rFonts w:ascii="Times New Roman" w:cs="Times New Roman" w:eastAsia="Times New Roman" w:hAnsi="Times New Roman"/>
          <w:sz w:val="13"/>
          <w:szCs w:val="13"/>
          <w:color w:val="auto"/>
        </w:rPr>
      </w:pPr>
    </w:p>
    <w:p>
      <w:pPr>
        <w:jc w:val="center"/>
        <w:ind w:right="-1120"/>
        <w:spacing w:after="0"/>
        <w:rPr>
          <w:sz w:val="20"/>
          <w:szCs w:val="20"/>
          <w:color w:val="auto"/>
        </w:rPr>
      </w:pPr>
      <w:r>
        <w:rPr>
          <w:rFonts w:ascii="Times New Roman" w:cs="Times New Roman" w:eastAsia="Times New Roman" w:hAnsi="Times New Roman"/>
          <w:sz w:val="13"/>
          <w:szCs w:val="13"/>
          <w:color w:val="auto"/>
        </w:rPr>
        <w:t>Cibus Inc.</w:t>
      </w:r>
    </w:p>
    <w:p>
      <w:pPr>
        <w:spacing w:after="0" w:line="24" w:lineRule="exact"/>
        <w:rPr>
          <w:rFonts w:ascii="Times New Roman" w:cs="Times New Roman" w:eastAsia="Times New Roman" w:hAnsi="Times New Roman"/>
          <w:sz w:val="13"/>
          <w:szCs w:val="13"/>
          <w:color w:val="auto"/>
        </w:rPr>
      </w:pPr>
    </w:p>
    <w:p>
      <w:pPr>
        <w:jc w:val="center"/>
        <w:ind w:right="-1120"/>
        <w:spacing w:after="0"/>
        <w:rPr>
          <w:sz w:val="20"/>
          <w:szCs w:val="20"/>
          <w:color w:val="auto"/>
        </w:rPr>
      </w:pPr>
      <w:r>
        <w:rPr>
          <w:rFonts w:ascii="Times New Roman" w:cs="Times New Roman" w:eastAsia="Times New Roman" w:hAnsi="Times New Roman"/>
          <w:sz w:val="13"/>
          <w:szCs w:val="13"/>
          <w:color w:val="auto"/>
        </w:rPr>
        <w:t>6455 Nancy Ridge Drive</w:t>
      </w:r>
    </w:p>
    <w:p>
      <w:pPr>
        <w:spacing w:after="0" w:line="12" w:lineRule="exact"/>
        <w:rPr>
          <w:rFonts w:ascii="Times New Roman" w:cs="Times New Roman" w:eastAsia="Times New Roman" w:hAnsi="Times New Roman"/>
          <w:sz w:val="13"/>
          <w:szCs w:val="13"/>
          <w:color w:val="auto"/>
        </w:rPr>
      </w:pPr>
    </w:p>
    <w:p>
      <w:pPr>
        <w:jc w:val="center"/>
        <w:ind w:right="-1120"/>
        <w:spacing w:after="0"/>
        <w:rPr>
          <w:sz w:val="20"/>
          <w:szCs w:val="20"/>
          <w:color w:val="auto"/>
        </w:rPr>
      </w:pPr>
      <w:r>
        <w:rPr>
          <w:rFonts w:ascii="Times New Roman" w:cs="Times New Roman" w:eastAsia="Times New Roman" w:hAnsi="Times New Roman"/>
          <w:sz w:val="13"/>
          <w:szCs w:val="13"/>
          <w:color w:val="auto"/>
        </w:rPr>
        <w:t>San Diego, CA 92121</w:t>
      </w:r>
    </w:p>
    <w:p>
      <w:pPr>
        <w:spacing w:after="0" w:line="12" w:lineRule="exact"/>
        <w:rPr>
          <w:rFonts w:ascii="Times New Roman" w:cs="Times New Roman" w:eastAsia="Times New Roman" w:hAnsi="Times New Roman"/>
          <w:sz w:val="13"/>
          <w:szCs w:val="13"/>
          <w:color w:val="auto"/>
        </w:rPr>
      </w:pPr>
    </w:p>
    <w:p>
      <w:pPr>
        <w:jc w:val="center"/>
        <w:ind w:right="-1120"/>
        <w:spacing w:after="0"/>
        <w:rPr>
          <w:sz w:val="20"/>
          <w:szCs w:val="20"/>
          <w:color w:val="auto"/>
        </w:rPr>
      </w:pPr>
      <w:r>
        <w:rPr>
          <w:rFonts w:ascii="Times New Roman" w:cs="Times New Roman" w:eastAsia="Times New Roman" w:hAnsi="Times New Roman"/>
          <w:sz w:val="13"/>
          <w:szCs w:val="13"/>
          <w:color w:val="auto"/>
        </w:rPr>
        <w:t>Telephone: (858) 450-0008</w:t>
      </w:r>
    </w:p>
    <w:p>
      <w:pPr>
        <w:spacing w:after="0" w:line="12" w:lineRule="exact"/>
        <w:rPr>
          <w:rFonts w:ascii="Times New Roman" w:cs="Times New Roman" w:eastAsia="Times New Roman" w:hAnsi="Times New Roman"/>
          <w:sz w:val="13"/>
          <w:szCs w:val="13"/>
          <w:color w:val="auto"/>
        </w:rPr>
      </w:pPr>
    </w:p>
    <w:p>
      <w:pPr>
        <w:jc w:val="center"/>
        <w:ind w:right="-1120"/>
        <w:spacing w:after="0"/>
        <w:rPr>
          <w:sz w:val="20"/>
          <w:szCs w:val="20"/>
          <w:color w:val="auto"/>
        </w:rPr>
      </w:pPr>
      <w:r>
        <w:rPr>
          <w:rFonts w:ascii="Times New Roman" w:cs="Times New Roman" w:eastAsia="Times New Roman" w:hAnsi="Times New Roman"/>
          <w:sz w:val="13"/>
          <w:szCs w:val="13"/>
          <w:color w:val="auto"/>
        </w:rPr>
        <w:t>Attention: Investor Relations</w:t>
      </w:r>
    </w:p>
    <w:p>
      <w:pPr>
        <w:spacing w:after="0" w:line="161" w:lineRule="exact"/>
        <w:rPr>
          <w:rFonts w:ascii="Times New Roman" w:cs="Times New Roman" w:eastAsia="Times New Roman" w:hAnsi="Times New Roman"/>
          <w:sz w:val="13"/>
          <w:szCs w:val="13"/>
          <w:color w:val="auto"/>
        </w:rPr>
      </w:pPr>
    </w:p>
    <w:p>
      <w:pPr>
        <w:ind w:left="1540" w:right="659" w:firstLine="329"/>
        <w:spacing w:after="0" w:line="278" w:lineRule="auto"/>
        <w:rPr>
          <w:sz w:val="20"/>
          <w:szCs w:val="20"/>
          <w:color w:val="auto"/>
        </w:rPr>
      </w:pPr>
      <w:r>
        <w:rPr>
          <w:rFonts w:ascii="Times New Roman" w:cs="Times New Roman" w:eastAsia="Times New Roman" w:hAnsi="Times New Roman"/>
          <w:sz w:val="13"/>
          <w:szCs w:val="13"/>
          <w:color w:val="auto"/>
        </w:rPr>
        <w:t>You may also access these documents, free of charge on the SEC’s website at www.sec.gov or on the “Investors” page of Cibus’ website at www.cibus.com. Other than such documents, information contained on Cibus’ website is not incorporated by reference into this prospectus, and you should not consider any information on, or that can be accessed from, Cibus’ website as part of this prospectus.</w:t>
      </w:r>
    </w:p>
    <w:p>
      <w:pPr>
        <w:spacing w:after="0" w:line="125" w:lineRule="exact"/>
        <w:rPr>
          <w:rFonts w:ascii="Times New Roman" w:cs="Times New Roman" w:eastAsia="Times New Roman" w:hAnsi="Times New Roman"/>
          <w:sz w:val="13"/>
          <w:szCs w:val="13"/>
          <w:color w:val="auto"/>
        </w:rPr>
      </w:pPr>
    </w:p>
    <w:p>
      <w:pPr>
        <w:ind w:left="1540" w:right="559" w:firstLine="329"/>
        <w:spacing w:after="0" w:line="297" w:lineRule="auto"/>
        <w:rPr>
          <w:sz w:val="20"/>
          <w:szCs w:val="20"/>
          <w:color w:val="auto"/>
        </w:rPr>
      </w:pPr>
      <w:r>
        <w:rPr>
          <w:rFonts w:ascii="Times New Roman" w:cs="Times New Roman" w:eastAsia="Times New Roman" w:hAnsi="Times New Roman"/>
          <w:sz w:val="13"/>
          <w:szCs w:val="13"/>
          <w:color w:val="auto"/>
        </w:rPr>
        <w:t>This prospectus is part of a registration statement Cibus filed with the SEC. Cibus has incorporated exhibits into this registration statement. You should read the exhibits carefully for provisions that may be important to you.</w:t>
      </w:r>
    </w:p>
    <w:p>
      <w:pPr>
        <w:spacing w:after="0" w:line="63" w:lineRule="exact"/>
        <w:rPr>
          <w:rFonts w:ascii="Times New Roman" w:cs="Times New Roman" w:eastAsia="Times New Roman" w:hAnsi="Times New Roman"/>
          <w:sz w:val="13"/>
          <w:szCs w:val="13"/>
          <w:color w:val="auto"/>
        </w:rPr>
      </w:pPr>
    </w:p>
    <w:p>
      <w:pPr>
        <w:ind w:left="5580"/>
        <w:spacing w:after="0"/>
        <w:rPr>
          <w:sz w:val="20"/>
          <w:szCs w:val="20"/>
          <w:color w:val="auto"/>
        </w:rPr>
      </w:pPr>
      <w:r>
        <w:rPr>
          <w:rFonts w:ascii="Times New Roman" w:cs="Times New Roman" w:eastAsia="Times New Roman" w:hAnsi="Times New Roman"/>
          <w:sz w:val="13"/>
          <w:szCs w:val="13"/>
          <w:color w:val="auto"/>
        </w:rPr>
        <w:t>35</w:t>
      </w:r>
    </w:p>
    <w:p>
      <w:pPr>
        <w:sectPr>
          <w:pgSz w:w="11900" w:h="16838" w:orient="portrait"/>
          <w:cols w:equalWidth="0" w:num="1">
            <w:col w:w="10159"/>
          </w:cols>
          <w:pgMar w:left="300" w:top="375" w:right="1440"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6">
                      <a:extLst>
                        <a:ext uri="{28A0092B-C50C-407E-A947-70E740481C1C}"/>
                      </a:extLst>
                    </a:blip>
                    <a:srcRect/>
                    <a:stretch>
                      <a:fillRect/>
                    </a:stretch>
                  </pic:blipFill>
                  <pic:spPr bwMode="auto">
                    <a:xfrm>
                      <a:off x="0" y="0"/>
                      <a:ext cx="7205345" cy="3175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972820</wp:posOffset>
            </wp:positionH>
            <wp:positionV relativeFrom="paragraph">
              <wp:posOffset>184785</wp:posOffset>
            </wp:positionV>
            <wp:extent cx="5221605" cy="127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7">
                      <a:extLst>
                        <a:ext uri="{28A0092B-C50C-407E-A947-70E740481C1C}"/>
                      </a:extLst>
                    </a:blip>
                    <a:srcRect/>
                    <a:stretch>
                      <a:fillRect/>
                    </a:stretch>
                  </pic:blipFill>
                  <pic:spPr bwMode="auto">
                    <a:xfrm>
                      <a:off x="0" y="0"/>
                      <a:ext cx="5221605" cy="12700"/>
                    </a:xfrm>
                    <a:prstGeom prst="rect">
                      <a:avLst/>
                    </a:prstGeom>
                    <a:noFill/>
                  </pic:spPr>
                </pic:pic>
              </a:graphicData>
            </a:graphic>
          </wp:anchor>
        </w:drawing>
        <w:drawing>
          <wp:anchor simplePos="0" relativeHeight="251657728" behindDoc="1" locked="0" layoutInCell="0" allowOverlap="1">
            <wp:simplePos x="0" y="0"/>
            <wp:positionH relativeFrom="column">
              <wp:posOffset>972820</wp:posOffset>
            </wp:positionH>
            <wp:positionV relativeFrom="paragraph">
              <wp:posOffset>222885</wp:posOffset>
            </wp:positionV>
            <wp:extent cx="5221605" cy="63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8">
                      <a:extLst>
                        <a:ext uri="{28A0092B-C50C-407E-A947-70E740481C1C}"/>
                      </a:extLst>
                    </a:blip>
                    <a:srcRect/>
                    <a:stretch>
                      <a:fillRect/>
                    </a:stretch>
                  </pic:blipFill>
                  <pic:spPr bwMode="auto">
                    <a:xfrm>
                      <a:off x="0" y="0"/>
                      <a:ext cx="5221605" cy="6350"/>
                    </a:xfrm>
                    <a:prstGeom prst="rect">
                      <a:avLst/>
                    </a:prstGeom>
                    <a:noFill/>
                  </pic:spPr>
                </pic:pic>
              </a:graphicData>
            </a:graphic>
          </wp:anchor>
        </w:drawing>
        <w:drawing>
          <wp:anchor simplePos="0" relativeHeight="251657728" behindDoc="1" locked="0" layoutInCell="0" allowOverlap="1">
            <wp:simplePos x="0" y="0"/>
            <wp:positionH relativeFrom="column">
              <wp:posOffset>2700655</wp:posOffset>
            </wp:positionH>
            <wp:positionV relativeFrom="paragraph">
              <wp:posOffset>485140</wp:posOffset>
            </wp:positionV>
            <wp:extent cx="1765935" cy="51181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9">
                      <a:extLst>
                        <a:ext uri="{28A0092B-C50C-407E-A947-70E740481C1C}"/>
                      </a:extLst>
                    </a:blip>
                    <a:srcRect/>
                    <a:stretch>
                      <a:fillRect/>
                    </a:stretch>
                  </pic:blipFill>
                  <pic:spPr bwMode="auto">
                    <a:xfrm>
                      <a:off x="0" y="0"/>
                      <a:ext cx="1765935" cy="511810"/>
                    </a:xfrm>
                    <a:prstGeom prst="rect">
                      <a:avLst/>
                    </a:prstGeom>
                    <a:noFill/>
                  </pic:spPr>
                </pic:pic>
              </a:graphicData>
            </a:graphic>
          </wp:anchor>
        </w:drawing>
      </w:r>
    </w:p>
    <w:p>
      <w:pPr>
        <w:sectPr>
          <w:pgSz w:w="11900" w:h="16838" w:orient="portrait"/>
          <w:cols w:equalWidth="0" w:num="1">
            <w:col w:w="10159"/>
          </w:cols>
          <w:pgMar w:left="300" w:top="37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10,738,040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3033395</wp:posOffset>
            </wp:positionH>
            <wp:positionV relativeFrom="paragraph">
              <wp:posOffset>1538605</wp:posOffset>
            </wp:positionV>
            <wp:extent cx="1100455" cy="63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0">
                      <a:extLst>
                        <a:ext uri="{28A0092B-C50C-407E-A947-70E740481C1C}"/>
                      </a:extLst>
                    </a:blip>
                    <a:srcRect/>
                    <a:stretch>
                      <a:fillRect/>
                    </a:stretch>
                  </pic:blipFill>
                  <pic:spPr bwMode="auto">
                    <a:xfrm>
                      <a:off x="0" y="0"/>
                      <a:ext cx="1100455"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6"/>
          <w:szCs w:val="16"/>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3033395</wp:posOffset>
            </wp:positionH>
            <wp:positionV relativeFrom="paragraph">
              <wp:posOffset>179070</wp:posOffset>
            </wp:positionV>
            <wp:extent cx="1100455" cy="63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1">
                      <a:extLst>
                        <a:ext uri="{28A0092B-C50C-407E-A947-70E740481C1C}"/>
                      </a:extLst>
                    </a:blip>
                    <a:srcRect/>
                    <a:stretch>
                      <a:fillRect/>
                    </a:stretch>
                  </pic:blipFill>
                  <pic:spPr bwMode="auto">
                    <a:xfrm>
                      <a:off x="0" y="0"/>
                      <a:ext cx="1100455"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b w:val="1"/>
          <w:bCs w:val="1"/>
          <w:color w:val="auto"/>
        </w:rPr>
        <w:t>         ,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972820</wp:posOffset>
            </wp:positionH>
            <wp:positionV relativeFrom="paragraph">
              <wp:posOffset>331470</wp:posOffset>
            </wp:positionV>
            <wp:extent cx="5221605" cy="63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2">
                      <a:extLst>
                        <a:ext uri="{28A0092B-C50C-407E-A947-70E740481C1C}"/>
                      </a:extLst>
                    </a:blip>
                    <a:srcRect/>
                    <a:stretch>
                      <a:fillRect/>
                    </a:stretch>
                  </pic:blipFill>
                  <pic:spPr bwMode="auto">
                    <a:xfrm>
                      <a:off x="0" y="0"/>
                      <a:ext cx="5221605" cy="6350"/>
                    </a:xfrm>
                    <a:prstGeom prst="rect">
                      <a:avLst/>
                    </a:prstGeom>
                    <a:noFill/>
                  </pic:spPr>
                </pic:pic>
              </a:graphicData>
            </a:graphic>
          </wp:anchor>
        </w:drawing>
        <w:drawing>
          <wp:anchor simplePos="0" relativeHeight="251657728" behindDoc="1" locked="0" layoutInCell="0" allowOverlap="1">
            <wp:simplePos x="0" y="0"/>
            <wp:positionH relativeFrom="column">
              <wp:posOffset>972820</wp:posOffset>
            </wp:positionH>
            <wp:positionV relativeFrom="paragraph">
              <wp:posOffset>376555</wp:posOffset>
            </wp:positionV>
            <wp:extent cx="5221605" cy="127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3">
                      <a:extLst>
                        <a:ext uri="{28A0092B-C50C-407E-A947-70E740481C1C}"/>
                      </a:extLst>
                    </a:blip>
                    <a:srcRect/>
                    <a:stretch>
                      <a:fillRect/>
                    </a:stretch>
                  </pic:blipFill>
                  <pic:spPr bwMode="auto">
                    <a:xfrm>
                      <a:off x="0" y="0"/>
                      <a:ext cx="5221605" cy="12700"/>
                    </a:xfrm>
                    <a:prstGeom prst="rect">
                      <a:avLst/>
                    </a:prstGeom>
                    <a:noFill/>
                  </pic:spPr>
                </pic:pic>
              </a:graphicData>
            </a:graphic>
          </wp:anchor>
        </w:drawing>
      </w:r>
    </w:p>
    <w:p>
      <w:pPr>
        <w:sectPr>
          <w:pgSz w:w="11900" w:h="16838" w:orient="portrait"/>
          <w:cols w:equalWidth="0" w:num="1">
            <w:col w:w="10159"/>
          </w:cols>
          <w:pgMar w:left="300" w:top="375" w:right="1440" w:bottom="1440" w:gutter="0" w:footer="0" w:header="0"/>
          <w:type w:val="continuous"/>
        </w:sectPr>
      </w:pPr>
    </w:p>
    <w:bookmarkStart w:id="99" w:name="page100"/>
    <w:bookmarkEnd w:id="99"/>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4">
                      <a:extLst>
                        <a:ext uri="{28A0092B-C50C-407E-A947-70E740481C1C}"/>
                      </a:extLst>
                    </a:blip>
                    <a:srcRect/>
                    <a:stretch>
                      <a:fillRect/>
                    </a:stretch>
                  </pic:blipFill>
                  <pic:spPr bwMode="auto">
                    <a:xfrm>
                      <a:off x="0" y="0"/>
                      <a:ext cx="7205345" cy="31750"/>
                    </a:xfrm>
                    <a:prstGeom prst="rect">
                      <a:avLst/>
                    </a:prstGeom>
                    <a:noFill/>
                  </pic:spPr>
                </pic:pic>
              </a:graphicData>
            </a:graphic>
          </wp:anchor>
        </w:drawing>
        <w:t>Table of Contents</w:t>
      </w:r>
    </w:p>
    <w:p>
      <w:pPr>
        <w:spacing w:after="0" w:line="24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PART II</w:t>
      </w:r>
    </w:p>
    <w:p>
      <w:pPr>
        <w:spacing w:after="0" w:line="9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INFORMATION NOT REQUIRED IN PROSPECTUS</w:t>
      </w:r>
    </w:p>
    <w:p>
      <w:pPr>
        <w:spacing w:after="0" w:line="193" w:lineRule="exact"/>
        <w:rPr>
          <w:sz w:val="20"/>
          <w:szCs w:val="20"/>
          <w:color w:val="auto"/>
        </w:rPr>
      </w:pPr>
    </w:p>
    <w:p>
      <w:pPr>
        <w:ind w:left="1540"/>
        <w:spacing w:after="0"/>
        <w:tabs>
          <w:tab w:leader="none" w:pos="2320" w:val="left"/>
        </w:tabs>
        <w:rPr>
          <w:sz w:val="20"/>
          <w:szCs w:val="20"/>
          <w:color w:val="auto"/>
        </w:rPr>
      </w:pPr>
      <w:r>
        <w:rPr>
          <w:rFonts w:ascii="Times New Roman" w:cs="Times New Roman" w:eastAsia="Times New Roman" w:hAnsi="Times New Roman"/>
          <w:sz w:val="13"/>
          <w:szCs w:val="13"/>
          <w:b w:val="1"/>
          <w:bCs w:val="1"/>
          <w:color w:val="auto"/>
        </w:rPr>
        <w:t>Item 14.</w:t>
      </w:r>
      <w:r>
        <w:rPr>
          <w:sz w:val="20"/>
          <w:szCs w:val="20"/>
          <w:color w:val="auto"/>
        </w:rPr>
        <w:tab/>
      </w:r>
      <w:r>
        <w:rPr>
          <w:rFonts w:ascii="Times New Roman" w:cs="Times New Roman" w:eastAsia="Times New Roman" w:hAnsi="Times New Roman"/>
          <w:sz w:val="13"/>
          <w:szCs w:val="13"/>
          <w:b w:val="1"/>
          <w:bCs w:val="1"/>
          <w:color w:val="auto"/>
        </w:rPr>
        <w:t>Other Expenses of Issuance and Distribution.</w:t>
      </w:r>
    </w:p>
    <w:p>
      <w:pPr>
        <w:spacing w:after="0" w:line="96" w:lineRule="exact"/>
        <w:rPr>
          <w:sz w:val="20"/>
          <w:szCs w:val="20"/>
          <w:color w:val="auto"/>
        </w:rPr>
      </w:pPr>
    </w:p>
    <w:p>
      <w:pPr>
        <w:ind w:left="1540" w:right="519" w:firstLine="329"/>
        <w:spacing w:after="0" w:line="297" w:lineRule="auto"/>
        <w:rPr>
          <w:sz w:val="20"/>
          <w:szCs w:val="20"/>
          <w:color w:val="auto"/>
        </w:rPr>
      </w:pPr>
      <w:r>
        <w:rPr>
          <w:rFonts w:ascii="Times New Roman" w:cs="Times New Roman" w:eastAsia="Times New Roman" w:hAnsi="Times New Roman"/>
          <w:sz w:val="13"/>
          <w:szCs w:val="13"/>
          <w:color w:val="auto"/>
        </w:rPr>
        <w:t>The following table sets forth the fees and expenses, other than underwriting discounts and commissions, payable by the Company in connection with the securities being registered hereby.</w:t>
      </w:r>
    </w:p>
    <w:p>
      <w:pPr>
        <w:spacing w:after="0" w:line="147" w:lineRule="exact"/>
        <w:rPr>
          <w:sz w:val="20"/>
          <w:szCs w:val="20"/>
          <w:color w:val="auto"/>
        </w:rPr>
      </w:pPr>
    </w:p>
    <w:tbl>
      <w:tblPr>
        <w:tblLayout w:type="fixed"/>
        <w:tblInd w:w="2860" w:type="dxa"/>
        <w:tblCellMar>
          <w:top w:w="0" w:type="dxa"/>
          <w:left w:w="0" w:type="dxa"/>
          <w:bottom w:w="0" w:type="dxa"/>
          <w:right w:w="0" w:type="dxa"/>
        </w:tblCellMar>
      </w:tblPr>
      <w:tr>
        <w:trPr>
          <w:trHeight w:val="161"/>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SEC registration fee</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27,620.00</w:t>
            </w:r>
          </w:p>
        </w:tc>
      </w:tr>
      <w:tr>
        <w:trPr>
          <w:trHeight w:val="161"/>
        </w:trPr>
        <w:tc>
          <w:tcPr>
            <w:tcW w:w="3300" w:type="dxa"/>
            <w:vAlign w:val="bottom"/>
          </w:tcPr>
          <w:p>
            <w:pPr>
              <w:spacing w:after="0"/>
              <w:rPr>
                <w:sz w:val="20"/>
                <w:szCs w:val="20"/>
                <w:color w:val="auto"/>
              </w:rPr>
            </w:pPr>
            <w:r>
              <w:rPr>
                <w:rFonts w:ascii="Times New Roman" w:cs="Times New Roman" w:eastAsia="Times New Roman" w:hAnsi="Times New Roman"/>
                <w:sz w:val="13"/>
                <w:szCs w:val="13"/>
                <w:color w:val="auto"/>
              </w:rPr>
              <w:t>FINRA filing fee</w:t>
            </w: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30,500.00</w:t>
            </w:r>
          </w:p>
        </w:tc>
      </w:tr>
      <w:tr>
        <w:trPr>
          <w:trHeight w:val="161"/>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Accounting fees and expenses</w:t>
            </w:r>
          </w:p>
        </w:tc>
        <w:tc>
          <w:tcPr>
            <w:tcW w:w="16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1"/>
        </w:trPr>
        <w:tc>
          <w:tcPr>
            <w:tcW w:w="3300" w:type="dxa"/>
            <w:vAlign w:val="bottom"/>
          </w:tcPr>
          <w:p>
            <w:pPr>
              <w:spacing w:after="0"/>
              <w:rPr>
                <w:sz w:val="20"/>
                <w:szCs w:val="20"/>
                <w:color w:val="auto"/>
              </w:rPr>
            </w:pPr>
            <w:r>
              <w:rPr>
                <w:rFonts w:ascii="Times New Roman" w:cs="Times New Roman" w:eastAsia="Times New Roman" w:hAnsi="Times New Roman"/>
                <w:sz w:val="13"/>
                <w:szCs w:val="13"/>
                <w:color w:val="auto"/>
              </w:rPr>
              <w:t>Legal fees and expenses</w:t>
            </w:r>
          </w:p>
        </w:tc>
        <w:tc>
          <w:tcPr>
            <w:tcW w:w="16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1"/>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Printing and engraving expenses</w:t>
            </w:r>
          </w:p>
        </w:tc>
        <w:tc>
          <w:tcPr>
            <w:tcW w:w="16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1"/>
        </w:trPr>
        <w:tc>
          <w:tcPr>
            <w:tcW w:w="3300" w:type="dxa"/>
            <w:vAlign w:val="bottom"/>
          </w:tcPr>
          <w:p>
            <w:pPr>
              <w:spacing w:after="0"/>
              <w:rPr>
                <w:sz w:val="20"/>
                <w:szCs w:val="20"/>
                <w:color w:val="auto"/>
              </w:rPr>
            </w:pPr>
            <w:r>
              <w:rPr>
                <w:rFonts w:ascii="Times New Roman" w:cs="Times New Roman" w:eastAsia="Times New Roman" w:hAnsi="Times New Roman"/>
                <w:sz w:val="13"/>
                <w:szCs w:val="13"/>
                <w:color w:val="auto"/>
              </w:rPr>
              <w:t>Transfer agent and registrar fee</w:t>
            </w:r>
          </w:p>
        </w:tc>
        <w:tc>
          <w:tcPr>
            <w:tcW w:w="16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1"/>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Miscellaneous</w:t>
            </w:r>
          </w:p>
        </w:tc>
        <w:tc>
          <w:tcPr>
            <w:tcW w:w="16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4"/>
        </w:trPr>
        <w:tc>
          <w:tcPr>
            <w:tcW w:w="3300" w:type="dxa"/>
            <w:vAlign w:val="bottom"/>
          </w:tcPr>
          <w:p>
            <w:pPr>
              <w:spacing w:after="0"/>
              <w:rPr>
                <w:sz w:val="20"/>
                <w:szCs w:val="20"/>
                <w:color w:val="auto"/>
              </w:rPr>
            </w:pPr>
            <w:r>
              <w:rPr>
                <w:rFonts w:ascii="Times New Roman" w:cs="Times New Roman" w:eastAsia="Times New Roman" w:hAnsi="Times New Roman"/>
                <w:sz w:val="13"/>
                <w:szCs w:val="13"/>
                <w:color w:val="auto"/>
              </w:rPr>
              <w:t>Total</w:t>
            </w: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972820</wp:posOffset>
            </wp:positionH>
            <wp:positionV relativeFrom="paragraph">
              <wp:posOffset>55880</wp:posOffset>
            </wp:positionV>
            <wp:extent cx="575945" cy="635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5">
                      <a:extLst>
                        <a:ext uri="{28A0092B-C50C-407E-A947-70E740481C1C}"/>
                      </a:extLst>
                    </a:blip>
                    <a:srcRect/>
                    <a:stretch>
                      <a:fillRect/>
                    </a:stretch>
                  </pic:blipFill>
                  <pic:spPr bwMode="auto">
                    <a:xfrm>
                      <a:off x="0" y="0"/>
                      <a:ext cx="575945" cy="6350"/>
                    </a:xfrm>
                    <a:prstGeom prst="rect">
                      <a:avLst/>
                    </a:prstGeom>
                    <a:noFill/>
                  </pic:spPr>
                </pic:pic>
              </a:graphicData>
            </a:graphic>
          </wp:anchor>
        </w:drawing>
      </w:r>
    </w:p>
    <w:p>
      <w:pPr>
        <w:spacing w:after="0" w:line="96"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3"/>
          <w:szCs w:val="13"/>
          <w:color w:val="auto"/>
        </w:rPr>
        <w:t>*  These fees are calculated based on the securities offered and the number of issuances and, accordingly, cannot be estimated at this time.</w:t>
      </w:r>
    </w:p>
    <w:p>
      <w:pPr>
        <w:spacing w:after="0" w:line="173" w:lineRule="exact"/>
        <w:rPr>
          <w:sz w:val="20"/>
          <w:szCs w:val="20"/>
          <w:color w:val="auto"/>
        </w:rPr>
      </w:pPr>
    </w:p>
    <w:p>
      <w:pPr>
        <w:ind w:left="1540" w:right="619" w:firstLine="329"/>
        <w:spacing w:after="0" w:line="297" w:lineRule="auto"/>
        <w:rPr>
          <w:sz w:val="20"/>
          <w:szCs w:val="20"/>
          <w:color w:val="auto"/>
        </w:rPr>
      </w:pPr>
      <w:r>
        <w:rPr>
          <w:rFonts w:ascii="Times New Roman" w:cs="Times New Roman" w:eastAsia="Times New Roman" w:hAnsi="Times New Roman"/>
          <w:sz w:val="13"/>
          <w:szCs w:val="13"/>
          <w:color w:val="auto"/>
        </w:rPr>
        <w:t>The Company will bear all costs, expenses and fees in connection with the registration of the Class A Common Stock, including with regard to compliance with state securities or “blue sky” laws.</w:t>
      </w:r>
    </w:p>
    <w:p>
      <w:pPr>
        <w:spacing w:after="0" w:line="190"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3"/>
          <w:szCs w:val="13"/>
          <w:b w:val="1"/>
          <w:bCs w:val="1"/>
          <w:color w:val="auto"/>
        </w:rPr>
        <w:t>Item 15. Indemnification of Directors and Officers.</w:t>
      </w:r>
    </w:p>
    <w:p>
      <w:pPr>
        <w:spacing w:after="0" w:line="96" w:lineRule="exact"/>
        <w:rPr>
          <w:sz w:val="20"/>
          <w:szCs w:val="20"/>
          <w:color w:val="auto"/>
        </w:rPr>
      </w:pPr>
    </w:p>
    <w:p>
      <w:pPr>
        <w:ind w:left="1540" w:right="459" w:firstLine="329"/>
        <w:spacing w:after="0" w:line="263" w:lineRule="auto"/>
        <w:rPr>
          <w:sz w:val="20"/>
          <w:szCs w:val="20"/>
          <w:color w:val="auto"/>
        </w:rPr>
      </w:pPr>
      <w:r>
        <w:rPr>
          <w:rFonts w:ascii="Times New Roman" w:cs="Times New Roman" w:eastAsia="Times New Roman" w:hAnsi="Times New Roman"/>
          <w:sz w:val="13"/>
          <w:szCs w:val="13"/>
          <w:color w:val="auto"/>
        </w:rPr>
        <w:t>Section 145 of the DGCL provides that a corporation may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he or she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him or her in connection with such action, suit or proceeding if he or she acted in good faith and in a manner he or she reasonably believed to be in or not opposed to the best interests of the corporation and, with respect to any criminal action or proceeding, had no reasonable cause to believe his or her conduct was unlawful. A similar standard is applicable in the case of derivative actions (i.e., actions by or in the right of the corporation), except that indemnification extends only to expenses, including attorneys’ fees, incurred in connection with the defense or settlement of such action and the statute requires court approval before there can be any indemnification where the person seeking indemnification has been found liable to the corporation.</w:t>
      </w:r>
    </w:p>
    <w:p>
      <w:pPr>
        <w:spacing w:after="0" w:line="136" w:lineRule="exact"/>
        <w:rPr>
          <w:sz w:val="20"/>
          <w:szCs w:val="20"/>
          <w:color w:val="auto"/>
        </w:rPr>
      </w:pPr>
    </w:p>
    <w:p>
      <w:pPr>
        <w:ind w:left="1540" w:right="519" w:firstLine="329"/>
        <w:spacing w:after="0" w:line="278" w:lineRule="auto"/>
        <w:rPr>
          <w:sz w:val="20"/>
          <w:szCs w:val="20"/>
          <w:color w:val="auto"/>
        </w:rPr>
      </w:pPr>
      <w:r>
        <w:rPr>
          <w:rFonts w:ascii="Times New Roman" w:cs="Times New Roman" w:eastAsia="Times New Roman" w:hAnsi="Times New Roman"/>
          <w:sz w:val="13"/>
          <w:szCs w:val="13"/>
          <w:color w:val="auto"/>
        </w:rPr>
        <w:t>The Company’s second amended and restated certificate of incorporation contains provisions that limit the liability of the Company’s directors and officers for monetary damages to the fullest extent permitted by the DGCL. Consequently, the Company’s directors will not be personally liable to the Company or its stockholders for monetary damages for breach of fiduciary duty as a director, except liability:</w:t>
      </w:r>
    </w:p>
    <w:p>
      <w:pPr>
        <w:spacing w:after="0" w:line="55" w:lineRule="exact"/>
        <w:rPr>
          <w:sz w:val="20"/>
          <w:szCs w:val="20"/>
          <w:color w:val="auto"/>
        </w:rPr>
      </w:pPr>
    </w:p>
    <w:p>
      <w:pPr>
        <w:ind w:left="2260" w:hanging="325"/>
        <w:spacing w:after="0"/>
        <w:tabs>
          <w:tab w:leader="none" w:pos="2260" w:val="left"/>
        </w:tabs>
        <w:numPr>
          <w:ilvl w:val="0"/>
          <w:numId w:val="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any breach of the director’s duty of loyalty to the Company or its stockholders;</w:t>
      </w:r>
    </w:p>
    <w:p>
      <w:pPr>
        <w:spacing w:after="0" w:line="102" w:lineRule="exact"/>
        <w:rPr>
          <w:rFonts w:ascii="Times New Roman" w:cs="Times New Roman" w:eastAsia="Times New Roman" w:hAnsi="Times New Roman"/>
          <w:sz w:val="13"/>
          <w:szCs w:val="13"/>
          <w:color w:val="auto"/>
        </w:rPr>
      </w:pPr>
    </w:p>
    <w:p>
      <w:pPr>
        <w:ind w:left="2260" w:hanging="325"/>
        <w:spacing w:after="0"/>
        <w:tabs>
          <w:tab w:leader="none" w:pos="2260" w:val="left"/>
        </w:tabs>
        <w:numPr>
          <w:ilvl w:val="0"/>
          <w:numId w:val="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any act or omission not in good faith or that involve intentional misconduct or knowing violation of law;</w:t>
      </w:r>
    </w:p>
    <w:p>
      <w:pPr>
        <w:spacing w:after="0" w:line="102" w:lineRule="exact"/>
        <w:rPr>
          <w:rFonts w:ascii="Times New Roman" w:cs="Times New Roman" w:eastAsia="Times New Roman" w:hAnsi="Times New Roman"/>
          <w:sz w:val="13"/>
          <w:szCs w:val="13"/>
          <w:color w:val="auto"/>
        </w:rPr>
      </w:pPr>
    </w:p>
    <w:p>
      <w:pPr>
        <w:ind w:left="2260" w:hanging="325"/>
        <w:spacing w:after="0"/>
        <w:tabs>
          <w:tab w:leader="none" w:pos="2260" w:val="left"/>
        </w:tabs>
        <w:numPr>
          <w:ilvl w:val="0"/>
          <w:numId w:val="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under Section 174 of the DGCL regarding unlawful dividends and stock purchases; or</w:t>
      </w:r>
    </w:p>
    <w:p>
      <w:pPr>
        <w:spacing w:after="0" w:line="102" w:lineRule="exact"/>
        <w:rPr>
          <w:rFonts w:ascii="Times New Roman" w:cs="Times New Roman" w:eastAsia="Times New Roman" w:hAnsi="Times New Roman"/>
          <w:sz w:val="13"/>
          <w:szCs w:val="13"/>
          <w:color w:val="auto"/>
        </w:rPr>
      </w:pPr>
    </w:p>
    <w:p>
      <w:pPr>
        <w:ind w:left="2260" w:hanging="325"/>
        <w:spacing w:after="0"/>
        <w:tabs>
          <w:tab w:leader="none" w:pos="2260" w:val="left"/>
        </w:tabs>
        <w:numPr>
          <w:ilvl w:val="0"/>
          <w:numId w:val="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any transaction from which the director derived an improper personal benefit.</w:t>
      </w:r>
    </w:p>
    <w:p>
      <w:pPr>
        <w:spacing w:after="0" w:line="12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II-1</w:t>
      </w:r>
    </w:p>
    <w:p>
      <w:pPr>
        <w:sectPr>
          <w:pgSz w:w="11900" w:h="16838" w:orient="portrait"/>
          <w:cols w:equalWidth="0" w:num="1">
            <w:col w:w="10159"/>
          </w:cols>
          <w:pgMar w:left="300" w:top="375" w:right="1440"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6">
                      <a:extLst>
                        <a:ext uri="{28A0092B-C50C-407E-A947-70E740481C1C}"/>
                      </a:extLst>
                    </a:blip>
                    <a:srcRect/>
                    <a:stretch>
                      <a:fillRect/>
                    </a:stretch>
                  </pic:blipFill>
                  <pic:spPr bwMode="auto">
                    <a:xfrm>
                      <a:off x="0" y="0"/>
                      <a:ext cx="7205345" cy="31750"/>
                    </a:xfrm>
                    <a:prstGeom prst="rect">
                      <a:avLst/>
                    </a:prstGeom>
                    <a:noFill/>
                  </pic:spPr>
                </pic:pic>
              </a:graphicData>
            </a:graphic>
          </wp:anchor>
        </w:drawing>
        <w:t>Table of Contents</w:t>
      </w:r>
    </w:p>
    <w:p>
      <w:pPr>
        <w:spacing w:after="0" w:line="248" w:lineRule="exact"/>
        <w:rPr>
          <w:sz w:val="20"/>
          <w:szCs w:val="20"/>
          <w:color w:val="auto"/>
        </w:rPr>
      </w:pPr>
    </w:p>
    <w:p>
      <w:pPr>
        <w:ind w:left="1540" w:right="659" w:firstLine="329"/>
        <w:spacing w:after="0" w:line="271" w:lineRule="auto"/>
        <w:rPr>
          <w:sz w:val="20"/>
          <w:szCs w:val="20"/>
          <w:color w:val="auto"/>
        </w:rPr>
      </w:pPr>
      <w:r>
        <w:rPr>
          <w:rFonts w:ascii="Times New Roman" w:cs="Times New Roman" w:eastAsia="Times New Roman" w:hAnsi="Times New Roman"/>
          <w:sz w:val="13"/>
          <w:szCs w:val="13"/>
          <w:color w:val="auto"/>
        </w:rPr>
        <w:t>Any amendment to, or repeal of, these provisions will not eliminate or reduce the effect of these provisions in respect of any act, omission or claim that occurred or arose prior to that amendment or repeal. If the DGCL is amended to provide for further limitations on the personal liability of directors or officers of corporations, then the personal liability of the Company’s directors and officers will be further limited to the fullest extent permitted by the DGCL.</w:t>
      </w:r>
    </w:p>
    <w:p>
      <w:pPr>
        <w:spacing w:after="0" w:line="131" w:lineRule="exact"/>
        <w:rPr>
          <w:sz w:val="20"/>
          <w:szCs w:val="20"/>
          <w:color w:val="auto"/>
        </w:rPr>
      </w:pPr>
    </w:p>
    <w:p>
      <w:pPr>
        <w:ind w:left="1540" w:right="419" w:firstLine="329"/>
        <w:spacing w:after="0" w:line="268" w:lineRule="auto"/>
        <w:rPr>
          <w:sz w:val="20"/>
          <w:szCs w:val="20"/>
          <w:color w:val="auto"/>
        </w:rPr>
      </w:pPr>
      <w:r>
        <w:rPr>
          <w:rFonts w:ascii="Times New Roman" w:cs="Times New Roman" w:eastAsia="Times New Roman" w:hAnsi="Times New Roman"/>
          <w:sz w:val="13"/>
          <w:szCs w:val="13"/>
          <w:color w:val="auto"/>
        </w:rPr>
        <w:t>In addition, the Company has entered into indemnification agreements with its current directors and officers containing provisions that are in some respects broader than the specific indemnification provisions contained in the DGCL. These agreements require the Company to indemnify these individuals to the fullest extent permitted under Delaware law against liability that may arise by reason of their service to the Company, and to advance expenses incurred as a result of any proceeding against them as to which they could be indemnified. The Company also intends to enter into indemnification agreements with the Company’s future directors and officers.</w:t>
      </w:r>
    </w:p>
    <w:p>
      <w:pPr>
        <w:spacing w:after="0" w:line="133" w:lineRule="exact"/>
        <w:rPr>
          <w:sz w:val="20"/>
          <w:szCs w:val="20"/>
          <w:color w:val="auto"/>
        </w:rPr>
      </w:pPr>
    </w:p>
    <w:p>
      <w:pPr>
        <w:ind w:left="1540" w:right="739" w:firstLine="329"/>
        <w:spacing w:after="0" w:line="297" w:lineRule="auto"/>
        <w:rPr>
          <w:sz w:val="20"/>
          <w:szCs w:val="20"/>
          <w:color w:val="auto"/>
        </w:rPr>
      </w:pPr>
      <w:r>
        <w:rPr>
          <w:rFonts w:ascii="Times New Roman" w:cs="Times New Roman" w:eastAsia="Times New Roman" w:hAnsi="Times New Roman"/>
          <w:sz w:val="13"/>
          <w:szCs w:val="13"/>
          <w:color w:val="auto"/>
        </w:rPr>
        <w:t>The Company maintains liability insurance policies that indemnify the Company’s directors and officers against various liabilities, including certain liabilities under arising under the Securities Act and the Exchange Act, that may be incurred by them in their capacity as such.</w:t>
      </w:r>
    </w:p>
    <w:p>
      <w:pPr>
        <w:spacing w:after="0" w:line="114" w:lineRule="exact"/>
        <w:rPr>
          <w:sz w:val="20"/>
          <w:szCs w:val="20"/>
          <w:color w:val="auto"/>
        </w:rPr>
      </w:pPr>
    </w:p>
    <w:p>
      <w:pPr>
        <w:ind w:left="1540" w:right="439" w:firstLine="329"/>
        <w:spacing w:after="0" w:line="278" w:lineRule="auto"/>
        <w:rPr>
          <w:sz w:val="20"/>
          <w:szCs w:val="20"/>
          <w:color w:val="auto"/>
        </w:rPr>
      </w:pPr>
      <w:r>
        <w:rPr>
          <w:rFonts w:ascii="Times New Roman" w:cs="Times New Roman" w:eastAsia="Times New Roman" w:hAnsi="Times New Roman"/>
          <w:sz w:val="13"/>
          <w:szCs w:val="13"/>
          <w:color w:val="auto"/>
        </w:rPr>
        <w:t>The form of Underwriting Agreement to be filed, or incorporated by reference, as Exhibit 1.1 to this registration statement provides for indemnification by the underwriters of the Company and its directors and officers, and by the Company of the underwriters, for certain liabilities arising under the Securities Act or otherwise in connection with this offering.</w:t>
      </w:r>
    </w:p>
    <w:p>
      <w:pPr>
        <w:spacing w:after="0" w:line="125" w:lineRule="exact"/>
        <w:rPr>
          <w:sz w:val="20"/>
          <w:szCs w:val="20"/>
          <w:color w:val="auto"/>
        </w:rPr>
      </w:pPr>
    </w:p>
    <w:p>
      <w:pPr>
        <w:ind w:left="1540" w:right="559" w:firstLine="329"/>
        <w:spacing w:after="0" w:line="278" w:lineRule="auto"/>
        <w:rPr>
          <w:sz w:val="20"/>
          <w:szCs w:val="20"/>
          <w:color w:val="auto"/>
        </w:rPr>
      </w:pPr>
      <w:r>
        <w:rPr>
          <w:rFonts w:ascii="Times New Roman" w:cs="Times New Roman" w:eastAsia="Times New Roman" w:hAnsi="Times New Roman"/>
          <w:sz w:val="13"/>
          <w:szCs w:val="13"/>
          <w:color w:val="auto"/>
        </w:rPr>
        <w:t>Insofar as indemnification for liabilities arising under the Securities Act may be permitted to directors, officers or persons controlling the Company pursuant to the foregoing provisions, the Company has been informed that in the opinion of the SEC, such indemnification is against public policy as expressed in the Securities Act and is therefore unenforceable.</w:t>
      </w:r>
    </w:p>
    <w:p>
      <w:pPr>
        <w:spacing w:after="0" w:line="232"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3"/>
          <w:szCs w:val="13"/>
          <w:b w:val="1"/>
          <w:bCs w:val="1"/>
          <w:color w:val="auto"/>
        </w:rPr>
        <w:t>Item 16. </w:t>
      </w:r>
    </w:p>
    <w:p>
      <w:pPr>
        <w:spacing w:after="0" w:line="28"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3"/>
          <w:szCs w:val="13"/>
          <w:b w:val="1"/>
          <w:bCs w:val="1"/>
          <w:color w:val="auto"/>
        </w:rPr>
        <w:t>Exhibits.</w:t>
      </w:r>
    </w:p>
    <w:p>
      <w:pPr>
        <w:spacing w:after="0" w:line="159" w:lineRule="exact"/>
        <w:rPr>
          <w:sz w:val="20"/>
          <w:szCs w:val="20"/>
          <w:color w:val="auto"/>
        </w:rPr>
      </w:pPr>
    </w:p>
    <w:tbl>
      <w:tblPr>
        <w:tblLayout w:type="fixed"/>
        <w:tblInd w:w="1540" w:type="dxa"/>
        <w:tblCellMar>
          <w:top w:w="0" w:type="dxa"/>
          <w:left w:w="0" w:type="dxa"/>
          <w:bottom w:w="0" w:type="dxa"/>
          <w:right w:w="0" w:type="dxa"/>
        </w:tblCellMar>
      </w:tblPr>
      <w:tr>
        <w:trPr>
          <w:trHeight w:val="126"/>
        </w:trPr>
        <w:tc>
          <w:tcPr>
            <w:tcW w:w="82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7400" w:type="dxa"/>
            <w:vAlign w:val="bottom"/>
            <w:gridSpan w:val="13"/>
            <w:vMerge w:val="restart"/>
          </w:tcPr>
          <w:p>
            <w:pPr>
              <w:spacing w:after="0"/>
              <w:rPr>
                <w:sz w:val="20"/>
                <w:szCs w:val="20"/>
                <w:color w:val="auto"/>
              </w:rPr>
            </w:pPr>
            <w:r>
              <w:rPr>
                <w:rFonts w:ascii="Times New Roman" w:cs="Times New Roman" w:eastAsia="Times New Roman" w:hAnsi="Times New Roman"/>
                <w:sz w:val="11"/>
                <w:szCs w:val="11"/>
                <w:b w:val="1"/>
                <w:bCs w:val="1"/>
                <w:color w:val="auto"/>
              </w:rPr>
              <w:t>Description</w:t>
            </w:r>
          </w:p>
        </w:tc>
        <w:tc>
          <w:tcPr>
            <w:tcW w:w="0" w:type="dxa"/>
            <w:vAlign w:val="bottom"/>
          </w:tcPr>
          <w:p>
            <w:pPr>
              <w:spacing w:after="0"/>
              <w:rPr>
                <w:sz w:val="1"/>
                <w:szCs w:val="1"/>
                <w:color w:val="auto"/>
              </w:rPr>
            </w:pPr>
          </w:p>
        </w:tc>
      </w:tr>
      <w:tr>
        <w:trPr>
          <w:trHeight w:val="130"/>
        </w:trPr>
        <w:tc>
          <w:tcPr>
            <w:tcW w:w="8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1"/>
                <w:szCs w:val="11"/>
                <w:b w:val="1"/>
                <w:bCs w:val="1"/>
                <w:color w:val="auto"/>
              </w:rPr>
              <w:t>No.</w:t>
            </w:r>
          </w:p>
        </w:tc>
        <w:tc>
          <w:tcPr>
            <w:tcW w:w="7400" w:type="dxa"/>
            <w:vAlign w:val="bottom"/>
            <w:tcBorders>
              <w:bottom w:val="single" w:sz="8" w:color="auto"/>
            </w:tcBorders>
            <w:gridSpan w:val="1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31"/>
        </w:trPr>
        <w:tc>
          <w:tcPr>
            <w:tcW w:w="8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    1.1**</w:t>
            </w:r>
          </w:p>
        </w:tc>
        <w:tc>
          <w:tcPr>
            <w:tcW w:w="7400" w:type="dxa"/>
            <w:vAlign w:val="bottom"/>
            <w:gridSpan w:val="13"/>
          </w:tcPr>
          <w:p>
            <w:pPr>
              <w:spacing w:after="0"/>
              <w:rPr>
                <w:sz w:val="20"/>
                <w:szCs w:val="20"/>
                <w:color w:val="auto"/>
              </w:rPr>
            </w:pPr>
            <w:r>
              <w:rPr>
                <w:rFonts w:ascii="Times New Roman" w:cs="Times New Roman" w:eastAsia="Times New Roman" w:hAnsi="Times New Roman"/>
                <w:sz w:val="13"/>
                <w:szCs w:val="13"/>
                <w:color w:val="auto"/>
              </w:rPr>
              <w:t>Form of Underwriting Agreement</w:t>
            </w:r>
          </w:p>
        </w:tc>
        <w:tc>
          <w:tcPr>
            <w:tcW w:w="0" w:type="dxa"/>
            <w:vAlign w:val="bottom"/>
          </w:tcPr>
          <w:p>
            <w:pPr>
              <w:spacing w:after="0"/>
              <w:rPr>
                <w:sz w:val="1"/>
                <w:szCs w:val="1"/>
                <w:color w:val="auto"/>
              </w:rPr>
            </w:pPr>
          </w:p>
        </w:tc>
      </w:tr>
      <w:tr>
        <w:trPr>
          <w:trHeight w:val="212"/>
        </w:trPr>
        <w:tc>
          <w:tcPr>
            <w:tcW w:w="8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    1.2*</w:t>
            </w:r>
          </w:p>
        </w:tc>
        <w:tc>
          <w:tcPr>
            <w:tcW w:w="490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3"/>
                <w:szCs w:val="13"/>
                <w:color w:val="0000EE"/>
              </w:rPr>
              <w:t>Open Market Sale Agreement, dated May 15, 2026, between Cibus, Inc. and Jefferies LLC</w:t>
            </w:r>
          </w:p>
        </w:tc>
        <w:tc>
          <w:tcPr>
            <w:tcW w:w="2500" w:type="dxa"/>
            <w:vAlign w:val="bottom"/>
            <w:gridSpan w:val="6"/>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    3.1</w:t>
            </w:r>
          </w:p>
        </w:tc>
        <w:tc>
          <w:tcPr>
            <w:tcW w:w="7400" w:type="dxa"/>
            <w:vAlign w:val="bottom"/>
            <w:gridSpan w:val="13"/>
          </w:tcPr>
          <w:p>
            <w:pPr>
              <w:spacing w:after="0"/>
              <w:rPr>
                <w:rFonts w:ascii="Times New Roman" w:cs="Times New Roman" w:eastAsia="Times New Roman" w:hAnsi="Times New Roman"/>
                <w:sz w:val="13"/>
                <w:szCs w:val="13"/>
                <w:color w:val="0000EE"/>
              </w:rPr>
            </w:pPr>
            <w:hyperlink r:id="rId167">
              <w:r>
                <w:rPr>
                  <w:rFonts w:ascii="Times New Roman" w:cs="Times New Roman" w:eastAsia="Times New Roman" w:hAnsi="Times New Roman"/>
                  <w:sz w:val="13"/>
                  <w:szCs w:val="13"/>
                  <w:color w:val="0000EE"/>
                </w:rPr>
                <w:t>Second Amended and Restated Certificate of Incorporation of Cibus, Inc., dated May 31, 2023 (incorporated by reference to Exhibit 3.2</w:t>
              </w:r>
            </w:hyperlink>
          </w:p>
        </w:tc>
        <w:tc>
          <w:tcPr>
            <w:tcW w:w="0" w:type="dxa"/>
            <w:vAlign w:val="bottom"/>
          </w:tcPr>
          <w:p>
            <w:pPr>
              <w:spacing w:after="0"/>
              <w:rPr>
                <w:sz w:val="1"/>
                <w:szCs w:val="1"/>
                <w:color w:val="auto"/>
              </w:rPr>
            </w:pPr>
          </w:p>
        </w:tc>
      </w:tr>
      <w:tr>
        <w:trPr>
          <w:trHeight w:val="141"/>
        </w:trPr>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360" w:type="dxa"/>
            <w:vAlign w:val="bottom"/>
            <w:tcBorders>
              <w:top w:val="single" w:sz="8" w:color="0000EE"/>
            </w:tcBorders>
            <w:gridSpan w:val="12"/>
          </w:tcPr>
          <w:p>
            <w:pPr>
              <w:spacing w:after="0" w:line="141" w:lineRule="exact"/>
              <w:rPr>
                <w:rFonts w:ascii="Times New Roman" w:cs="Times New Roman" w:eastAsia="Times New Roman" w:hAnsi="Times New Roman"/>
                <w:sz w:val="13"/>
                <w:szCs w:val="13"/>
                <w:color w:val="0000EE"/>
              </w:rPr>
            </w:pPr>
            <w:hyperlink r:id="rId167">
              <w:r>
                <w:rPr>
                  <w:rFonts w:ascii="Times New Roman" w:cs="Times New Roman" w:eastAsia="Times New Roman" w:hAnsi="Times New Roman"/>
                  <w:sz w:val="13"/>
                  <w:szCs w:val="13"/>
                  <w:color w:val="0000EE"/>
                </w:rPr>
                <w:t>to the Company’s Current Report on Form 8-K filed on June 1, 2023)</w:t>
              </w:r>
            </w:hyperlink>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20" w:type="dxa"/>
            <w:vAlign w:val="bottom"/>
            <w:gridSpan w:val="2"/>
          </w:tcPr>
          <w:p>
            <w:pPr>
              <w:spacing w:after="0" w:line="20" w:lineRule="exact"/>
              <w:rPr>
                <w:sz w:val="1"/>
                <w:szCs w:val="1"/>
                <w:color w:val="auto"/>
              </w:rPr>
            </w:pPr>
          </w:p>
        </w:tc>
        <w:tc>
          <w:tcPr>
            <w:tcW w:w="17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    3.2</w:t>
            </w:r>
          </w:p>
        </w:tc>
        <w:tc>
          <w:tcPr>
            <w:tcW w:w="7400" w:type="dxa"/>
            <w:vAlign w:val="bottom"/>
            <w:gridSpan w:val="13"/>
          </w:tcPr>
          <w:p>
            <w:pPr>
              <w:spacing w:after="0"/>
              <w:rPr>
                <w:rFonts w:ascii="Times New Roman" w:cs="Times New Roman" w:eastAsia="Times New Roman" w:hAnsi="Times New Roman"/>
                <w:sz w:val="13"/>
                <w:szCs w:val="13"/>
                <w:color w:val="0000EE"/>
              </w:rPr>
            </w:pPr>
            <w:hyperlink r:id="rId168">
              <w:r>
                <w:rPr>
                  <w:rFonts w:ascii="Times New Roman" w:cs="Times New Roman" w:eastAsia="Times New Roman" w:hAnsi="Times New Roman"/>
                  <w:sz w:val="13"/>
                  <w:szCs w:val="13"/>
                  <w:color w:val="0000EE"/>
                </w:rPr>
                <w:t>Amended and Restated Bylaws of Cibus, Inc., dated May 31, 2023 (incorporated by reference to Exhibit 3.3 to the Company’s Current</w:t>
              </w:r>
            </w:hyperlink>
          </w:p>
        </w:tc>
        <w:tc>
          <w:tcPr>
            <w:tcW w:w="0" w:type="dxa"/>
            <w:vAlign w:val="bottom"/>
          </w:tcPr>
          <w:p>
            <w:pPr>
              <w:spacing w:after="0"/>
              <w:rPr>
                <w:sz w:val="1"/>
                <w:szCs w:val="1"/>
                <w:color w:val="auto"/>
              </w:rPr>
            </w:pPr>
          </w:p>
        </w:tc>
      </w:tr>
      <w:tr>
        <w:trPr>
          <w:trHeight w:val="141"/>
        </w:trPr>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320" w:type="dxa"/>
            <w:vAlign w:val="bottom"/>
            <w:tcBorders>
              <w:top w:val="single" w:sz="8" w:color="0000EE"/>
              <w:bottom w:val="single" w:sz="8" w:color="0000EE"/>
            </w:tcBorders>
            <w:gridSpan w:val="3"/>
          </w:tcPr>
          <w:p>
            <w:pPr>
              <w:spacing w:after="0" w:line="141" w:lineRule="exact"/>
              <w:rPr>
                <w:rFonts w:ascii="Times New Roman" w:cs="Times New Roman" w:eastAsia="Times New Roman" w:hAnsi="Times New Roman"/>
                <w:sz w:val="13"/>
                <w:szCs w:val="13"/>
                <w:color w:val="0000EE"/>
              </w:rPr>
            </w:pPr>
            <w:hyperlink r:id="rId168">
              <w:r>
                <w:rPr>
                  <w:rFonts w:ascii="Times New Roman" w:cs="Times New Roman" w:eastAsia="Times New Roman" w:hAnsi="Times New Roman"/>
                  <w:sz w:val="13"/>
                  <w:szCs w:val="13"/>
                  <w:color w:val="0000EE"/>
                </w:rPr>
                <w:t>Report on Form 8-K filed on June 1, 2023)</w:t>
              </w:r>
            </w:hyperlink>
          </w:p>
        </w:tc>
        <w:tc>
          <w:tcPr>
            <w:tcW w:w="4960" w:type="dxa"/>
            <w:vAlign w:val="bottom"/>
            <w:tcBorders>
              <w:top w:val="single" w:sz="8" w:color="0000EE"/>
            </w:tcBorders>
            <w:gridSpan w:val="7"/>
          </w:tcPr>
          <w:p>
            <w:pPr>
              <w:spacing w:after="0"/>
              <w:rPr>
                <w:sz w:val="12"/>
                <w:szCs w:val="12"/>
                <w:color w:val="auto"/>
              </w:rPr>
            </w:pPr>
          </w:p>
        </w:tc>
        <w:tc>
          <w:tcPr>
            <w:tcW w:w="12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222"/>
        </w:trPr>
        <w:tc>
          <w:tcPr>
            <w:tcW w:w="8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    4.1</w:t>
            </w:r>
          </w:p>
        </w:tc>
        <w:tc>
          <w:tcPr>
            <w:tcW w:w="7320" w:type="dxa"/>
            <w:vAlign w:val="bottom"/>
            <w:tcBorders>
              <w:bottom w:val="single" w:sz="8" w:color="0000EE"/>
            </w:tcBorders>
            <w:gridSpan w:val="11"/>
          </w:tcPr>
          <w:p>
            <w:pPr>
              <w:spacing w:after="0"/>
              <w:rPr>
                <w:rFonts w:ascii="Times New Roman" w:cs="Times New Roman" w:eastAsia="Times New Roman" w:hAnsi="Times New Roman"/>
                <w:sz w:val="13"/>
                <w:szCs w:val="13"/>
                <w:color w:val="0000EE"/>
              </w:rPr>
            </w:pPr>
            <w:hyperlink r:id="rId169">
              <w:r>
                <w:rPr>
                  <w:rFonts w:ascii="Times New Roman" w:cs="Times New Roman" w:eastAsia="Times New Roman" w:hAnsi="Times New Roman"/>
                  <w:sz w:val="13"/>
                  <w:szCs w:val="13"/>
                  <w:color w:val="0000EE"/>
                </w:rPr>
                <w:t>Form of Common Warrant issued in February 2022 (incorporated by reference to Exhibit 4.2 to the Company’s Current Report on Form</w:t>
              </w:r>
            </w:hyperlink>
          </w:p>
        </w:tc>
        <w:tc>
          <w:tcPr>
            <w:tcW w:w="8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141"/>
        </w:trPr>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740" w:type="dxa"/>
            <w:vAlign w:val="bottom"/>
            <w:tcBorders>
              <w:bottom w:val="single" w:sz="8" w:color="0000EE"/>
            </w:tcBorders>
          </w:tcPr>
          <w:p>
            <w:pPr>
              <w:spacing w:after="0" w:line="141" w:lineRule="exact"/>
              <w:rPr>
                <w:rFonts w:ascii="Times New Roman" w:cs="Times New Roman" w:eastAsia="Times New Roman" w:hAnsi="Times New Roman"/>
                <w:sz w:val="13"/>
                <w:szCs w:val="13"/>
                <w:color w:val="0000EE"/>
              </w:rPr>
            </w:pPr>
            <w:hyperlink r:id="rId169">
              <w:r>
                <w:rPr>
                  <w:rFonts w:ascii="Times New Roman" w:cs="Times New Roman" w:eastAsia="Times New Roman" w:hAnsi="Times New Roman"/>
                  <w:sz w:val="13"/>
                  <w:szCs w:val="13"/>
                  <w:color w:val="0000EE"/>
                </w:rPr>
                <w:t>8-K filed on February 23, 2022)</w:t>
              </w:r>
            </w:hyperlink>
          </w:p>
        </w:tc>
        <w:tc>
          <w:tcPr>
            <w:tcW w:w="5660" w:type="dxa"/>
            <w:vAlign w:val="bottom"/>
            <w:gridSpan w:val="12"/>
          </w:tcPr>
          <w:p>
            <w:pPr>
              <w:spacing w:after="0"/>
              <w:rPr>
                <w:sz w:val="12"/>
                <w:szCs w:val="12"/>
                <w:color w:val="auto"/>
              </w:rPr>
            </w:pPr>
          </w:p>
        </w:tc>
        <w:tc>
          <w:tcPr>
            <w:tcW w:w="0" w:type="dxa"/>
            <w:vAlign w:val="bottom"/>
          </w:tcPr>
          <w:p>
            <w:pPr>
              <w:spacing w:after="0"/>
              <w:rPr>
                <w:sz w:val="1"/>
                <w:szCs w:val="1"/>
                <w:color w:val="auto"/>
              </w:rPr>
            </w:pPr>
          </w:p>
        </w:tc>
      </w:tr>
      <w:tr>
        <w:trPr>
          <w:trHeight w:val="222"/>
        </w:trPr>
        <w:tc>
          <w:tcPr>
            <w:tcW w:w="8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    4.2</w:t>
            </w:r>
          </w:p>
        </w:tc>
        <w:tc>
          <w:tcPr>
            <w:tcW w:w="7320" w:type="dxa"/>
            <w:vAlign w:val="bottom"/>
            <w:tcBorders>
              <w:bottom w:val="single" w:sz="8" w:color="0000EE"/>
            </w:tcBorders>
            <w:gridSpan w:val="11"/>
          </w:tcPr>
          <w:p>
            <w:pPr>
              <w:spacing w:after="0"/>
              <w:rPr>
                <w:rFonts w:ascii="Times New Roman" w:cs="Times New Roman" w:eastAsia="Times New Roman" w:hAnsi="Times New Roman"/>
                <w:sz w:val="13"/>
                <w:szCs w:val="13"/>
                <w:color w:val="0000EE"/>
              </w:rPr>
            </w:pPr>
            <w:hyperlink r:id="rId170">
              <w:r>
                <w:rPr>
                  <w:rFonts w:ascii="Times New Roman" w:cs="Times New Roman" w:eastAsia="Times New Roman" w:hAnsi="Times New Roman"/>
                  <w:sz w:val="13"/>
                  <w:szCs w:val="13"/>
                  <w:color w:val="0000EE"/>
                </w:rPr>
                <w:t>Form of Common Warrant issued in June 2024 (incorporated by reference to Exhibit 4.1 to the Company’s Current Report on Form 8-K</w:t>
              </w:r>
            </w:hyperlink>
          </w:p>
        </w:tc>
        <w:tc>
          <w:tcPr>
            <w:tcW w:w="8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141"/>
        </w:trPr>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400" w:type="dxa"/>
            <w:vAlign w:val="bottom"/>
            <w:gridSpan w:val="13"/>
          </w:tcPr>
          <w:p>
            <w:pPr>
              <w:spacing w:after="0" w:line="141" w:lineRule="exact"/>
              <w:rPr>
                <w:rFonts w:ascii="Times New Roman" w:cs="Times New Roman" w:eastAsia="Times New Roman" w:hAnsi="Times New Roman"/>
                <w:sz w:val="13"/>
                <w:szCs w:val="13"/>
                <w:color w:val="0000EE"/>
              </w:rPr>
            </w:pPr>
            <w:hyperlink r:id="rId170">
              <w:r>
                <w:rPr>
                  <w:rFonts w:ascii="Times New Roman" w:cs="Times New Roman" w:eastAsia="Times New Roman" w:hAnsi="Times New Roman"/>
                  <w:sz w:val="13"/>
                  <w:szCs w:val="13"/>
                  <w:color w:val="0000EE"/>
                </w:rPr>
                <w:t>filed with the SEC on June 13, 2024)</w:t>
              </w:r>
            </w:hyperlink>
          </w:p>
        </w:tc>
        <w:tc>
          <w:tcPr>
            <w:tcW w:w="0" w:type="dxa"/>
            <w:vAlign w:val="bottom"/>
          </w:tcPr>
          <w:p>
            <w:pPr>
              <w:spacing w:after="0"/>
              <w:rPr>
                <w:sz w:val="1"/>
                <w:szCs w:val="1"/>
                <w:color w:val="auto"/>
              </w:rPr>
            </w:pPr>
          </w:p>
        </w:tc>
      </w:tr>
      <w:tr>
        <w:trPr>
          <w:trHeight w:val="20"/>
        </w:trPr>
        <w:tc>
          <w:tcPr>
            <w:tcW w:w="820" w:type="dxa"/>
            <w:vAlign w:val="bottom"/>
            <w:gridSpan w:val="2"/>
          </w:tcPr>
          <w:p>
            <w:pPr>
              <w:spacing w:after="0" w:line="20" w:lineRule="exact"/>
              <w:rPr>
                <w:sz w:val="1"/>
                <w:szCs w:val="1"/>
                <w:color w:val="auto"/>
              </w:rPr>
            </w:pPr>
          </w:p>
        </w:tc>
        <w:tc>
          <w:tcPr>
            <w:tcW w:w="2000" w:type="dxa"/>
            <w:vAlign w:val="bottom"/>
            <w:gridSpan w:val="2"/>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26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    4.3</w:t>
            </w:r>
          </w:p>
        </w:tc>
        <w:tc>
          <w:tcPr>
            <w:tcW w:w="7080" w:type="dxa"/>
            <w:vAlign w:val="bottom"/>
            <w:tcBorders>
              <w:bottom w:val="single" w:sz="8" w:color="0000EE"/>
            </w:tcBorders>
            <w:gridSpan w:val="8"/>
          </w:tcPr>
          <w:p>
            <w:pPr>
              <w:spacing w:after="0"/>
              <w:rPr>
                <w:rFonts w:ascii="Times New Roman" w:cs="Times New Roman" w:eastAsia="Times New Roman" w:hAnsi="Times New Roman"/>
                <w:sz w:val="13"/>
                <w:szCs w:val="13"/>
                <w:color w:val="0000EE"/>
              </w:rPr>
            </w:pPr>
            <w:hyperlink r:id="rId171">
              <w:r>
                <w:rPr>
                  <w:rFonts w:ascii="Times New Roman" w:cs="Times New Roman" w:eastAsia="Times New Roman" w:hAnsi="Times New Roman"/>
                  <w:sz w:val="13"/>
                  <w:szCs w:val="13"/>
                  <w:color w:val="0000EE"/>
                </w:rPr>
                <w:t>Form of Warrant Amendment Agreement to Common Warrants issued in June 2024 (incorporated by reference to Exhibit 4.3 to the</w:t>
              </w:r>
            </w:hyperlink>
          </w:p>
        </w:tc>
        <w:tc>
          <w:tcPr>
            <w:tcW w:w="320" w:type="dxa"/>
            <w:vAlign w:val="bottom"/>
            <w:gridSpan w:val="5"/>
          </w:tcPr>
          <w:p>
            <w:pPr>
              <w:spacing w:after="0"/>
              <w:rPr>
                <w:sz w:val="19"/>
                <w:szCs w:val="19"/>
                <w:color w:val="auto"/>
              </w:rPr>
            </w:pPr>
          </w:p>
        </w:tc>
        <w:tc>
          <w:tcPr>
            <w:tcW w:w="0" w:type="dxa"/>
            <w:vAlign w:val="bottom"/>
          </w:tcPr>
          <w:p>
            <w:pPr>
              <w:spacing w:after="0"/>
              <w:rPr>
                <w:sz w:val="1"/>
                <w:szCs w:val="1"/>
                <w:color w:val="auto"/>
              </w:rPr>
            </w:pPr>
          </w:p>
        </w:tc>
      </w:tr>
      <w:tr>
        <w:trPr>
          <w:trHeight w:val="141"/>
        </w:trPr>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400" w:type="dxa"/>
            <w:vAlign w:val="bottom"/>
            <w:tcBorders>
              <w:bottom w:val="single" w:sz="8" w:color="0000EE"/>
            </w:tcBorders>
            <w:gridSpan w:val="6"/>
          </w:tcPr>
          <w:p>
            <w:pPr>
              <w:spacing w:after="0" w:line="141" w:lineRule="exact"/>
              <w:rPr>
                <w:rFonts w:ascii="Times New Roman" w:cs="Times New Roman" w:eastAsia="Times New Roman" w:hAnsi="Times New Roman"/>
                <w:sz w:val="13"/>
                <w:szCs w:val="13"/>
                <w:color w:val="0000EE"/>
              </w:rPr>
            </w:pPr>
            <w:hyperlink r:id="rId171">
              <w:r>
                <w:rPr>
                  <w:rFonts w:ascii="Times New Roman" w:cs="Times New Roman" w:eastAsia="Times New Roman" w:hAnsi="Times New Roman"/>
                  <w:sz w:val="13"/>
                  <w:szCs w:val="13"/>
                  <w:color w:val="0000EE"/>
                </w:rPr>
                <w:t>Company’s Current Report on Form 8-K filed with the SEC on January 22, 2025)</w:t>
              </w:r>
            </w:hyperlink>
          </w:p>
        </w:tc>
        <w:tc>
          <w:tcPr>
            <w:tcW w:w="3000" w:type="dxa"/>
            <w:vAlign w:val="bottom"/>
            <w:gridSpan w:val="7"/>
          </w:tcPr>
          <w:p>
            <w:pPr>
              <w:spacing w:after="0"/>
              <w:rPr>
                <w:sz w:val="12"/>
                <w:szCs w:val="12"/>
                <w:color w:val="auto"/>
              </w:rPr>
            </w:pPr>
          </w:p>
        </w:tc>
        <w:tc>
          <w:tcPr>
            <w:tcW w:w="0" w:type="dxa"/>
            <w:vAlign w:val="bottom"/>
          </w:tcPr>
          <w:p>
            <w:pPr>
              <w:spacing w:after="0"/>
              <w:rPr>
                <w:sz w:val="1"/>
                <w:szCs w:val="1"/>
                <w:color w:val="auto"/>
              </w:rPr>
            </w:pPr>
          </w:p>
        </w:tc>
      </w:tr>
      <w:tr>
        <w:trPr>
          <w:trHeight w:val="222"/>
        </w:trPr>
        <w:tc>
          <w:tcPr>
            <w:tcW w:w="8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    4.4</w:t>
            </w:r>
          </w:p>
        </w:tc>
        <w:tc>
          <w:tcPr>
            <w:tcW w:w="7400" w:type="dxa"/>
            <w:vAlign w:val="bottom"/>
            <w:gridSpan w:val="13"/>
          </w:tcPr>
          <w:p>
            <w:pPr>
              <w:spacing w:after="0"/>
              <w:rPr>
                <w:rFonts w:ascii="Times New Roman" w:cs="Times New Roman" w:eastAsia="Times New Roman" w:hAnsi="Times New Roman"/>
                <w:sz w:val="13"/>
                <w:szCs w:val="13"/>
                <w:color w:val="0000EE"/>
              </w:rPr>
            </w:pPr>
            <w:hyperlink r:id="rId172">
              <w:r>
                <w:rPr>
                  <w:rFonts w:ascii="Times New Roman" w:cs="Times New Roman" w:eastAsia="Times New Roman" w:hAnsi="Times New Roman"/>
                  <w:sz w:val="13"/>
                  <w:szCs w:val="13"/>
                  <w:color w:val="0000EE"/>
                </w:rPr>
                <w:t>Form of Common Warrant issued in January 2025 (incorporated by reference to Exhibit 4.1 to the Company’s Current Report on Form</w:t>
              </w:r>
            </w:hyperlink>
          </w:p>
        </w:tc>
        <w:tc>
          <w:tcPr>
            <w:tcW w:w="0" w:type="dxa"/>
            <w:vAlign w:val="bottom"/>
          </w:tcPr>
          <w:p>
            <w:pPr>
              <w:spacing w:after="0"/>
              <w:rPr>
                <w:sz w:val="1"/>
                <w:szCs w:val="1"/>
                <w:color w:val="auto"/>
              </w:rPr>
            </w:pPr>
          </w:p>
        </w:tc>
      </w:tr>
      <w:tr>
        <w:trPr>
          <w:trHeight w:val="141"/>
        </w:trPr>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20" w:type="dxa"/>
            <w:vAlign w:val="bottom"/>
            <w:tcBorders>
              <w:top w:val="single" w:sz="8" w:color="0000EE"/>
              <w:bottom w:val="single" w:sz="8" w:color="0000EE"/>
            </w:tcBorders>
            <w:gridSpan w:val="4"/>
          </w:tcPr>
          <w:p>
            <w:pPr>
              <w:spacing w:after="0" w:line="141" w:lineRule="exact"/>
              <w:rPr>
                <w:rFonts w:ascii="Times New Roman" w:cs="Times New Roman" w:eastAsia="Times New Roman" w:hAnsi="Times New Roman"/>
                <w:sz w:val="13"/>
                <w:szCs w:val="13"/>
                <w:color w:val="0000EE"/>
              </w:rPr>
            </w:pPr>
            <w:hyperlink r:id="rId172">
              <w:r>
                <w:rPr>
                  <w:rFonts w:ascii="Times New Roman" w:cs="Times New Roman" w:eastAsia="Times New Roman" w:hAnsi="Times New Roman"/>
                  <w:sz w:val="13"/>
                  <w:szCs w:val="13"/>
                  <w:color w:val="0000EE"/>
                </w:rPr>
                <w:t>8-K filed with the SEC on January 22, 2025)</w:t>
              </w:r>
            </w:hyperlink>
          </w:p>
        </w:tc>
        <w:tc>
          <w:tcPr>
            <w:tcW w:w="4820" w:type="dxa"/>
            <w:vAlign w:val="bottom"/>
            <w:tcBorders>
              <w:top w:val="single" w:sz="8" w:color="0000EE"/>
            </w:tcBorders>
            <w:gridSpan w:val="5"/>
          </w:tcPr>
          <w:p>
            <w:pPr>
              <w:spacing w:after="0"/>
              <w:rPr>
                <w:sz w:val="12"/>
                <w:szCs w:val="12"/>
                <w:color w:val="auto"/>
              </w:rPr>
            </w:pPr>
          </w:p>
        </w:tc>
        <w:tc>
          <w:tcPr>
            <w:tcW w:w="160" w:type="dxa"/>
            <w:vAlign w:val="bottom"/>
            <w:gridSpan w:val="4"/>
          </w:tcPr>
          <w:p>
            <w:pPr>
              <w:spacing w:after="0"/>
              <w:rPr>
                <w:sz w:val="12"/>
                <w:szCs w:val="12"/>
                <w:color w:val="auto"/>
              </w:rPr>
            </w:pPr>
          </w:p>
        </w:tc>
        <w:tc>
          <w:tcPr>
            <w:tcW w:w="0" w:type="dxa"/>
            <w:vAlign w:val="bottom"/>
          </w:tcPr>
          <w:p>
            <w:pPr>
              <w:spacing w:after="0"/>
              <w:rPr>
                <w:sz w:val="1"/>
                <w:szCs w:val="1"/>
                <w:color w:val="auto"/>
              </w:rPr>
            </w:pPr>
          </w:p>
        </w:tc>
      </w:tr>
    </w:tbl>
    <w:p>
      <w:pPr>
        <w:spacing w:after="0" w:line="11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II-2</w:t>
      </w:r>
    </w:p>
    <w:p>
      <w:pPr>
        <w:sectPr>
          <w:pgSz w:w="11900" w:h="16838" w:orient="portrait"/>
          <w:cols w:equalWidth="0" w:num="1">
            <w:col w:w="10159"/>
          </w:cols>
          <w:pgMar w:left="300" w:top="375" w:right="1440"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3">
                      <a:extLst>
                        <a:ext uri="{28A0092B-C50C-407E-A947-70E740481C1C}"/>
                      </a:extLst>
                    </a:blip>
                    <a:srcRect/>
                    <a:stretch>
                      <a:fillRect/>
                    </a:stretch>
                  </pic:blipFill>
                  <pic:spPr bwMode="auto">
                    <a:xfrm>
                      <a:off x="0" y="0"/>
                      <a:ext cx="7205345" cy="31750"/>
                    </a:xfrm>
                    <a:prstGeom prst="rect">
                      <a:avLst/>
                    </a:prstGeom>
                    <a:noFill/>
                  </pic:spPr>
                </pic:pic>
              </a:graphicData>
            </a:graphic>
          </wp:anchor>
        </w:drawing>
        <w:t>Table of Contents</w:t>
      </w:r>
    </w:p>
    <w:p>
      <w:pPr>
        <w:spacing w:after="0" w:line="226" w:lineRule="exact"/>
        <w:rPr>
          <w:sz w:val="20"/>
          <w:szCs w:val="20"/>
          <w:color w:val="auto"/>
        </w:rPr>
      </w:pPr>
    </w:p>
    <w:tbl>
      <w:tblPr>
        <w:tblLayout w:type="fixed"/>
        <w:tblInd w:w="1540" w:type="dxa"/>
        <w:tblCellMar>
          <w:top w:w="0" w:type="dxa"/>
          <w:left w:w="0" w:type="dxa"/>
          <w:bottom w:w="0" w:type="dxa"/>
          <w:right w:w="0" w:type="dxa"/>
        </w:tblCellMar>
      </w:tblPr>
      <w:tr>
        <w:trPr>
          <w:trHeight w:val="126"/>
        </w:trPr>
        <w:tc>
          <w:tcPr>
            <w:tcW w:w="3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w w:val="91"/>
              </w:rPr>
              <w:t>Exhibit</w:t>
            </w:r>
          </w:p>
        </w:tc>
        <w:tc>
          <w:tcPr>
            <w:tcW w:w="460" w:type="dxa"/>
            <w:vAlign w:val="bottom"/>
          </w:tcPr>
          <w:p>
            <w:pPr>
              <w:spacing w:after="0"/>
              <w:rPr>
                <w:sz w:val="11"/>
                <w:szCs w:val="11"/>
                <w:color w:val="auto"/>
              </w:rPr>
            </w:pPr>
          </w:p>
        </w:tc>
        <w:tc>
          <w:tcPr>
            <w:tcW w:w="7420" w:type="dxa"/>
            <w:vAlign w:val="bottom"/>
            <w:gridSpan w:val="3"/>
            <w:vMerge w:val="restart"/>
          </w:tcPr>
          <w:p>
            <w:pPr>
              <w:spacing w:after="0"/>
              <w:rPr>
                <w:sz w:val="20"/>
                <w:szCs w:val="20"/>
                <w:color w:val="auto"/>
              </w:rPr>
            </w:pPr>
            <w:r>
              <w:rPr>
                <w:rFonts w:ascii="Times New Roman" w:cs="Times New Roman" w:eastAsia="Times New Roman" w:hAnsi="Times New Roman"/>
                <w:sz w:val="11"/>
                <w:szCs w:val="11"/>
                <w:b w:val="1"/>
                <w:bCs w:val="1"/>
                <w:color w:val="auto"/>
              </w:rPr>
              <w:t>Description</w:t>
            </w:r>
          </w:p>
        </w:tc>
        <w:tc>
          <w:tcPr>
            <w:tcW w:w="0" w:type="dxa"/>
            <w:vAlign w:val="bottom"/>
          </w:tcPr>
          <w:p>
            <w:pPr>
              <w:spacing w:after="0"/>
              <w:rPr>
                <w:sz w:val="1"/>
                <w:szCs w:val="1"/>
                <w:color w:val="auto"/>
              </w:rPr>
            </w:pPr>
          </w:p>
        </w:tc>
      </w:tr>
      <w:tr>
        <w:trPr>
          <w:trHeight w:val="130"/>
        </w:trPr>
        <w:tc>
          <w:tcPr>
            <w:tcW w:w="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rPr>
              <w:t>No.</w:t>
            </w:r>
          </w:p>
        </w:tc>
        <w:tc>
          <w:tcPr>
            <w:tcW w:w="460" w:type="dxa"/>
            <w:vAlign w:val="bottom"/>
          </w:tcPr>
          <w:p>
            <w:pPr>
              <w:spacing w:after="0"/>
              <w:rPr>
                <w:sz w:val="11"/>
                <w:szCs w:val="11"/>
                <w:color w:val="auto"/>
              </w:rPr>
            </w:pPr>
          </w:p>
        </w:tc>
        <w:tc>
          <w:tcPr>
            <w:tcW w:w="7420" w:type="dxa"/>
            <w:vAlign w:val="bottom"/>
            <w:tcBorders>
              <w:bottom w:val="single" w:sz="8" w:color="auto"/>
            </w:tcBorders>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20"/>
                <w:szCs w:val="20"/>
                <w:color w:val="auto"/>
              </w:rPr>
            </w:pPr>
            <w:r>
              <w:rPr>
                <w:rFonts w:ascii="Times New Roman" w:cs="Times New Roman" w:eastAsia="Times New Roman" w:hAnsi="Times New Roman"/>
                <w:sz w:val="13"/>
                <w:szCs w:val="13"/>
                <w:color w:val="auto"/>
                <w:w w:val="98"/>
              </w:rPr>
              <w:t>    4.5</w:t>
            </w:r>
          </w:p>
        </w:tc>
        <w:tc>
          <w:tcPr>
            <w:tcW w:w="460" w:type="dxa"/>
            <w:vAlign w:val="bottom"/>
          </w:tcPr>
          <w:p>
            <w:pPr>
              <w:spacing w:after="0"/>
              <w:rPr>
                <w:sz w:val="17"/>
                <w:szCs w:val="17"/>
                <w:color w:val="auto"/>
              </w:rPr>
            </w:pPr>
          </w:p>
        </w:tc>
        <w:tc>
          <w:tcPr>
            <w:tcW w:w="7380" w:type="dxa"/>
            <w:vAlign w:val="bottom"/>
            <w:tcBorders>
              <w:bottom w:val="single" w:sz="8" w:color="0000EE"/>
            </w:tcBorders>
            <w:gridSpan w:val="2"/>
          </w:tcPr>
          <w:p>
            <w:pPr>
              <w:spacing w:after="0"/>
              <w:rPr>
                <w:rFonts w:ascii="Times New Roman" w:cs="Times New Roman" w:eastAsia="Times New Roman" w:hAnsi="Times New Roman"/>
                <w:sz w:val="13"/>
                <w:szCs w:val="13"/>
                <w:color w:val="0000EE"/>
              </w:rPr>
            </w:pPr>
            <w:hyperlink r:id="rId174">
              <w:r>
                <w:rPr>
                  <w:rFonts w:ascii="Times New Roman" w:cs="Times New Roman" w:eastAsia="Times New Roman" w:hAnsi="Times New Roman"/>
                  <w:sz w:val="13"/>
                  <w:szCs w:val="13"/>
                  <w:color w:val="0000EE"/>
                </w:rPr>
                <w:t>Form of Pre-Funded Warrant issued in January 2025 (incorporated by reference to Exhibit 4.2 to the Company’s Current Report on Form</w:t>
              </w:r>
            </w:hyperlink>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1"/>
        </w:trPr>
        <w:tc>
          <w:tcPr>
            <w:tcW w:w="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20" w:type="dxa"/>
            <w:vAlign w:val="bottom"/>
            <w:tcBorders>
              <w:bottom w:val="single" w:sz="8" w:color="0000EE"/>
            </w:tcBorders>
          </w:tcPr>
          <w:p>
            <w:pPr>
              <w:spacing w:after="0" w:line="141" w:lineRule="exact"/>
              <w:rPr>
                <w:rFonts w:ascii="Times New Roman" w:cs="Times New Roman" w:eastAsia="Times New Roman" w:hAnsi="Times New Roman"/>
                <w:sz w:val="13"/>
                <w:szCs w:val="13"/>
                <w:color w:val="0000EE"/>
              </w:rPr>
            </w:pPr>
            <w:hyperlink r:id="rId174">
              <w:r>
                <w:rPr>
                  <w:rFonts w:ascii="Times New Roman" w:cs="Times New Roman" w:eastAsia="Times New Roman" w:hAnsi="Times New Roman"/>
                  <w:sz w:val="13"/>
                  <w:szCs w:val="13"/>
                  <w:color w:val="0000EE"/>
                </w:rPr>
                <w:t>8-K filed with the SEC on January 22, 2025)</w:t>
              </w:r>
            </w:hyperlink>
          </w:p>
        </w:tc>
        <w:tc>
          <w:tcPr>
            <w:tcW w:w="50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bl>
    <w:p>
      <w:pPr>
        <w:spacing w:after="0" w:line="88" w:lineRule="exact"/>
        <w:rPr>
          <w:sz w:val="20"/>
          <w:szCs w:val="20"/>
          <w:color w:val="auto"/>
        </w:rPr>
      </w:pPr>
    </w:p>
    <w:p>
      <w:pPr>
        <w:ind w:left="1600" w:hanging="68"/>
        <w:spacing w:after="0"/>
        <w:tabs>
          <w:tab w:leader="none" w:pos="1600" w:val="left"/>
        </w:tabs>
        <w:numPr>
          <w:ilvl w:val="0"/>
          <w:numId w:val="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4.6**Form of Depositary Receipt</w:t>
      </w:r>
    </w:p>
    <w:p>
      <w:pPr>
        <w:spacing w:after="0" w:line="92" w:lineRule="exact"/>
        <w:rPr>
          <w:rFonts w:ascii="Times New Roman" w:cs="Times New Roman" w:eastAsia="Times New Roman" w:hAnsi="Times New Roman"/>
          <w:sz w:val="13"/>
          <w:szCs w:val="13"/>
          <w:color w:val="auto"/>
        </w:rPr>
      </w:pPr>
    </w:p>
    <w:p>
      <w:pPr>
        <w:ind w:left="1600" w:hanging="68"/>
        <w:spacing w:after="0"/>
        <w:tabs>
          <w:tab w:leader="none" w:pos="1600" w:val="left"/>
        </w:tabs>
        <w:numPr>
          <w:ilvl w:val="0"/>
          <w:numId w:val="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4.7**Form of Deposit Agreement</w:t>
      </w:r>
    </w:p>
    <w:p>
      <w:pPr>
        <w:spacing w:after="0" w:line="92" w:lineRule="exact"/>
        <w:rPr>
          <w:rFonts w:ascii="Times New Roman" w:cs="Times New Roman" w:eastAsia="Times New Roman" w:hAnsi="Times New Roman"/>
          <w:sz w:val="13"/>
          <w:szCs w:val="13"/>
          <w:color w:val="auto"/>
        </w:rPr>
      </w:pPr>
    </w:p>
    <w:p>
      <w:pPr>
        <w:ind w:left="1600" w:hanging="68"/>
        <w:spacing w:after="0"/>
        <w:tabs>
          <w:tab w:leader="none" w:pos="1600" w:val="left"/>
        </w:tabs>
        <w:numPr>
          <w:ilvl w:val="0"/>
          <w:numId w:val="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4.8**Form of Warrant</w:t>
      </w:r>
    </w:p>
    <w:p>
      <w:pPr>
        <w:spacing w:after="0" w:line="92" w:lineRule="exact"/>
        <w:rPr>
          <w:rFonts w:ascii="Times New Roman" w:cs="Times New Roman" w:eastAsia="Times New Roman" w:hAnsi="Times New Roman"/>
          <w:sz w:val="13"/>
          <w:szCs w:val="13"/>
          <w:color w:val="auto"/>
        </w:rPr>
      </w:pPr>
    </w:p>
    <w:p>
      <w:pPr>
        <w:ind w:left="1600" w:hanging="68"/>
        <w:spacing w:after="0"/>
        <w:tabs>
          <w:tab w:leader="none" w:pos="1600" w:val="left"/>
        </w:tabs>
        <w:numPr>
          <w:ilvl w:val="0"/>
          <w:numId w:val="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4.9**Form of Warrant Agreement</w:t>
      </w:r>
    </w:p>
    <w:p>
      <w:pPr>
        <w:spacing w:after="0" w:line="92" w:lineRule="exact"/>
        <w:rPr>
          <w:rFonts w:ascii="Times New Roman" w:cs="Times New Roman" w:eastAsia="Times New Roman" w:hAnsi="Times New Roman"/>
          <w:sz w:val="13"/>
          <w:szCs w:val="13"/>
          <w:color w:val="auto"/>
        </w:rPr>
      </w:pPr>
    </w:p>
    <w:p>
      <w:pPr>
        <w:ind w:left="1600" w:hanging="68"/>
        <w:spacing w:after="0"/>
        <w:tabs>
          <w:tab w:leader="none" w:pos="1600" w:val="left"/>
        </w:tabs>
        <w:numPr>
          <w:ilvl w:val="0"/>
          <w:numId w:val="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4.10**Form of Subscription Rights Certificate</w:t>
      </w:r>
    </w:p>
    <w:p>
      <w:pPr>
        <w:spacing w:after="0" w:line="92" w:lineRule="exact"/>
        <w:rPr>
          <w:rFonts w:ascii="Times New Roman" w:cs="Times New Roman" w:eastAsia="Times New Roman" w:hAnsi="Times New Roman"/>
          <w:sz w:val="13"/>
          <w:szCs w:val="13"/>
          <w:color w:val="auto"/>
        </w:rPr>
      </w:pPr>
    </w:p>
    <w:p>
      <w:pPr>
        <w:ind w:left="1600" w:hanging="68"/>
        <w:spacing w:after="0"/>
        <w:tabs>
          <w:tab w:leader="none" w:pos="1600" w:val="left"/>
        </w:tabs>
        <w:numPr>
          <w:ilvl w:val="0"/>
          <w:numId w:val="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4.11**Form of Unit Agreement</w:t>
      </w:r>
    </w:p>
    <w:p>
      <w:pPr>
        <w:spacing w:after="0" w:line="87" w:lineRule="exact"/>
        <w:rPr>
          <w:sz w:val="20"/>
          <w:szCs w:val="20"/>
          <w:color w:val="auto"/>
        </w:rPr>
      </w:pPr>
    </w:p>
    <w:tbl>
      <w:tblPr>
        <w:tblLayout w:type="fixed"/>
        <w:tblInd w:w="1540" w:type="dxa"/>
        <w:tblCellMar>
          <w:top w:w="0" w:type="dxa"/>
          <w:left w:w="0" w:type="dxa"/>
          <w:bottom w:w="0" w:type="dxa"/>
          <w:right w:w="0" w:type="dxa"/>
        </w:tblCellMar>
      </w:tblPr>
      <w:tr>
        <w:trPr>
          <w:trHeight w:val="149"/>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    5.1*</w:t>
            </w:r>
          </w:p>
        </w:tc>
        <w:tc>
          <w:tcPr>
            <w:tcW w:w="4540" w:type="dxa"/>
            <w:vAlign w:val="bottom"/>
            <w:gridSpan w:val="3"/>
          </w:tcPr>
          <w:p>
            <w:pPr>
              <w:spacing w:after="0"/>
              <w:rPr>
                <w:sz w:val="20"/>
                <w:szCs w:val="20"/>
                <w:color w:val="auto"/>
              </w:rPr>
            </w:pPr>
            <w:r>
              <w:rPr>
                <w:rFonts w:ascii="Times New Roman" w:cs="Times New Roman" w:eastAsia="Times New Roman" w:hAnsi="Times New Roman"/>
                <w:sz w:val="13"/>
                <w:szCs w:val="13"/>
                <w:color w:val="0000EE"/>
              </w:rPr>
              <w:t>Opinion of Jones Day relating to the base prospectus</w:t>
            </w:r>
          </w:p>
        </w:tc>
      </w:tr>
      <w:tr>
        <w:trPr>
          <w:trHeight w:val="20"/>
        </w:trPr>
        <w:tc>
          <w:tcPr>
            <w:tcW w:w="800" w:type="dxa"/>
            <w:vAlign w:val="bottom"/>
          </w:tcPr>
          <w:p>
            <w:pPr>
              <w:spacing w:after="0" w:line="20" w:lineRule="exact"/>
              <w:rPr>
                <w:sz w:val="1"/>
                <w:szCs w:val="1"/>
                <w:color w:val="auto"/>
              </w:rPr>
            </w:pPr>
          </w:p>
        </w:tc>
        <w:tc>
          <w:tcPr>
            <w:tcW w:w="28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222"/>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    5.2*</w:t>
            </w:r>
          </w:p>
        </w:tc>
        <w:tc>
          <w:tcPr>
            <w:tcW w:w="454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3"/>
                <w:szCs w:val="13"/>
                <w:color w:val="0000EE"/>
              </w:rPr>
              <w:t>Opinion of Jones Day relating to the “at the market” offering prospectus supplement</w:t>
            </w:r>
          </w:p>
        </w:tc>
      </w:tr>
      <w:tr>
        <w:trPr>
          <w:trHeight w:val="222"/>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    5.3*</w:t>
            </w:r>
          </w:p>
        </w:tc>
        <w:tc>
          <w:tcPr>
            <w:tcW w:w="302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3"/>
                <w:szCs w:val="13"/>
                <w:color w:val="0000EE"/>
              </w:rPr>
              <w:t>Opinion of Jones Day relating to the warrant prospectus</w:t>
            </w:r>
          </w:p>
        </w:tc>
        <w:tc>
          <w:tcPr>
            <w:tcW w:w="1520" w:type="dxa"/>
            <w:vAlign w:val="bottom"/>
          </w:tcPr>
          <w:p>
            <w:pPr>
              <w:spacing w:after="0"/>
              <w:rPr>
                <w:sz w:val="19"/>
                <w:szCs w:val="19"/>
                <w:color w:val="auto"/>
              </w:rPr>
            </w:pPr>
          </w:p>
        </w:tc>
      </w:tr>
    </w:tbl>
    <w:p>
      <w:pPr>
        <w:spacing w:after="0" w:line="88" w:lineRule="exact"/>
        <w:rPr>
          <w:sz w:val="20"/>
          <w:szCs w:val="20"/>
          <w:color w:val="auto"/>
        </w:rPr>
      </w:pPr>
    </w:p>
    <w:p>
      <w:pPr>
        <w:ind w:left="1600" w:hanging="68"/>
        <w:spacing w:after="0"/>
        <w:tabs>
          <w:tab w:leader="none" w:pos="1600" w:val="left"/>
        </w:tabs>
        <w:numPr>
          <w:ilvl w:val="0"/>
          <w:numId w:val="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23.1*</w:t>
      </w:r>
      <w:r>
        <w:rPr>
          <w:rFonts w:ascii="Times New Roman" w:cs="Times New Roman" w:eastAsia="Times New Roman" w:hAnsi="Times New Roman"/>
          <w:sz w:val="13"/>
          <w:szCs w:val="13"/>
          <w:u w:val="single" w:color="auto"/>
          <w:color w:val="0000EE"/>
        </w:rPr>
        <w:t>Consent of BDO USA, P.C.</w:t>
      </w:r>
    </w:p>
    <w:p>
      <w:pPr>
        <w:spacing w:after="0" w:line="87" w:lineRule="exact"/>
        <w:rPr>
          <w:sz w:val="20"/>
          <w:szCs w:val="20"/>
          <w:color w:val="auto"/>
        </w:rPr>
      </w:pPr>
    </w:p>
    <w:tbl>
      <w:tblPr>
        <w:tblLayout w:type="fixed"/>
        <w:tblInd w:w="1540" w:type="dxa"/>
        <w:tblCellMar>
          <w:top w:w="0" w:type="dxa"/>
          <w:left w:w="0" w:type="dxa"/>
          <w:bottom w:w="0" w:type="dxa"/>
          <w:right w:w="0" w:type="dxa"/>
        </w:tblCellMar>
      </w:tblPr>
      <w:tr>
        <w:trPr>
          <w:trHeight w:val="149"/>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  23.2*</w:t>
            </w:r>
          </w:p>
        </w:tc>
        <w:tc>
          <w:tcPr>
            <w:tcW w:w="254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3"/>
                <w:szCs w:val="13"/>
                <w:color w:val="0000EE"/>
              </w:rPr>
              <w:t>Consent of Jones Day (included in Exhibit 5.1)</w:t>
            </w:r>
          </w:p>
        </w:tc>
        <w:tc>
          <w:tcPr>
            <w:tcW w:w="600" w:type="dxa"/>
            <w:vAlign w:val="bottom"/>
          </w:tcPr>
          <w:p>
            <w:pPr>
              <w:spacing w:after="0"/>
              <w:rPr>
                <w:sz w:val="12"/>
                <w:szCs w:val="12"/>
                <w:color w:val="auto"/>
              </w:rPr>
            </w:pPr>
          </w:p>
        </w:tc>
      </w:tr>
      <w:tr>
        <w:trPr>
          <w:trHeight w:val="222"/>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  23.3*</w:t>
            </w:r>
          </w:p>
        </w:tc>
        <w:tc>
          <w:tcPr>
            <w:tcW w:w="254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3"/>
                <w:szCs w:val="13"/>
                <w:color w:val="0000EE"/>
              </w:rPr>
              <w:t>Consent of Jones Day (included in Exhibit 5.2)</w:t>
            </w:r>
          </w:p>
        </w:tc>
        <w:tc>
          <w:tcPr>
            <w:tcW w:w="600" w:type="dxa"/>
            <w:vAlign w:val="bottom"/>
          </w:tcPr>
          <w:p>
            <w:pPr>
              <w:spacing w:after="0"/>
              <w:rPr>
                <w:sz w:val="19"/>
                <w:szCs w:val="19"/>
                <w:color w:val="auto"/>
              </w:rPr>
            </w:pPr>
          </w:p>
        </w:tc>
      </w:tr>
      <w:tr>
        <w:trPr>
          <w:trHeight w:val="222"/>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  23.4*</w:t>
            </w:r>
          </w:p>
        </w:tc>
        <w:tc>
          <w:tcPr>
            <w:tcW w:w="254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3"/>
                <w:szCs w:val="13"/>
                <w:color w:val="0000EE"/>
              </w:rPr>
              <w:t>Consent of Jones Day (included in Exhibit 5.3)</w:t>
            </w:r>
          </w:p>
        </w:tc>
        <w:tc>
          <w:tcPr>
            <w:tcW w:w="600" w:type="dxa"/>
            <w:vAlign w:val="bottom"/>
          </w:tcPr>
          <w:p>
            <w:pPr>
              <w:spacing w:after="0"/>
              <w:rPr>
                <w:sz w:val="19"/>
                <w:szCs w:val="19"/>
                <w:color w:val="auto"/>
              </w:rPr>
            </w:pPr>
          </w:p>
        </w:tc>
      </w:tr>
      <w:tr>
        <w:trPr>
          <w:trHeight w:val="222"/>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  24.1*</w:t>
            </w:r>
          </w:p>
        </w:tc>
        <w:tc>
          <w:tcPr>
            <w:tcW w:w="314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3"/>
                <w:szCs w:val="13"/>
                <w:color w:val="0000EE"/>
              </w:rPr>
              <w:t>Power of Attorney (included on the signature page hereto)</w:t>
            </w:r>
          </w:p>
        </w:tc>
      </w:tr>
      <w:tr>
        <w:trPr>
          <w:trHeight w:val="222"/>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107*</w:t>
            </w:r>
          </w:p>
        </w:tc>
        <w:tc>
          <w:tcPr>
            <w:tcW w:w="3140" w:type="dxa"/>
            <w:vAlign w:val="bottom"/>
            <w:gridSpan w:val="3"/>
          </w:tcPr>
          <w:p>
            <w:pPr>
              <w:spacing w:after="0"/>
              <w:rPr>
                <w:sz w:val="20"/>
                <w:szCs w:val="20"/>
                <w:color w:val="auto"/>
              </w:rPr>
            </w:pPr>
            <w:r>
              <w:rPr>
                <w:rFonts w:ascii="Times New Roman" w:cs="Times New Roman" w:eastAsia="Times New Roman" w:hAnsi="Times New Roman"/>
                <w:sz w:val="13"/>
                <w:szCs w:val="13"/>
                <w:color w:val="0000EE"/>
              </w:rPr>
              <w:t>Filing Fee Table</w:t>
            </w:r>
          </w:p>
        </w:tc>
      </w:tr>
      <w:tr>
        <w:trPr>
          <w:trHeight w:val="20"/>
        </w:trPr>
        <w:tc>
          <w:tcPr>
            <w:tcW w:w="80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972820</wp:posOffset>
            </wp:positionH>
            <wp:positionV relativeFrom="paragraph">
              <wp:posOffset>76835</wp:posOffset>
            </wp:positionV>
            <wp:extent cx="575945" cy="63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5">
                      <a:extLst>
                        <a:ext uri="{28A0092B-C50C-407E-A947-70E740481C1C}"/>
                      </a:extLst>
                    </a:blip>
                    <a:srcRect/>
                    <a:stretch>
                      <a:fillRect/>
                    </a:stretch>
                  </pic:blipFill>
                  <pic:spPr bwMode="auto">
                    <a:xfrm>
                      <a:off x="0" y="0"/>
                      <a:ext cx="575945" cy="6350"/>
                    </a:xfrm>
                    <a:prstGeom prst="rect">
                      <a:avLst/>
                    </a:prstGeom>
                    <a:noFill/>
                  </pic:spPr>
                </pic:pic>
              </a:graphicData>
            </a:graphic>
          </wp:anchor>
        </w:drawing>
      </w:r>
    </w:p>
    <w:p>
      <w:pPr>
        <w:spacing w:after="0" w:line="128" w:lineRule="exact"/>
        <w:rPr>
          <w:sz w:val="20"/>
          <w:szCs w:val="20"/>
          <w:color w:val="auto"/>
        </w:rPr>
      </w:pPr>
    </w:p>
    <w:p>
      <w:pPr>
        <w:ind w:left="1860" w:hanging="328"/>
        <w:spacing w:after="0"/>
        <w:tabs>
          <w:tab w:leader="none" w:pos="1860" w:val="left"/>
        </w:tabs>
        <w:numPr>
          <w:ilvl w:val="0"/>
          <w:numId w:val="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Filed herewith.</w:t>
      </w:r>
    </w:p>
    <w:p>
      <w:pPr>
        <w:spacing w:after="0" w:line="24" w:lineRule="exact"/>
        <w:rPr>
          <w:sz w:val="20"/>
          <w:szCs w:val="20"/>
          <w:color w:val="auto"/>
        </w:rPr>
      </w:pPr>
    </w:p>
    <w:p>
      <w:pPr>
        <w:ind w:left="1860" w:hanging="328"/>
        <w:spacing w:after="0"/>
        <w:tabs>
          <w:tab w:leader="none" w:pos="1860" w:val="left"/>
        </w:tabs>
        <w:numPr>
          <w:ilvl w:val="0"/>
          <w:numId w:val="3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be filed by amendment or as an exhibit to a document incorporated by reference herein in connection with an offering.</w:t>
      </w:r>
    </w:p>
    <w:p>
      <w:pPr>
        <w:spacing w:after="0" w:line="26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3"/>
          <w:szCs w:val="13"/>
          <w:b w:val="1"/>
          <w:bCs w:val="1"/>
          <w:color w:val="auto"/>
        </w:rPr>
        <w:t>Item 17. </w:t>
      </w:r>
    </w:p>
    <w:p>
      <w:pPr>
        <w:spacing w:after="0" w:line="28"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3"/>
          <w:szCs w:val="13"/>
          <w:b w:val="1"/>
          <w:bCs w:val="1"/>
          <w:color w:val="auto"/>
        </w:rPr>
        <w:t>Undertakings.</w:t>
      </w:r>
    </w:p>
    <w:p>
      <w:pPr>
        <w:spacing w:after="0" w:line="90" w:lineRule="exact"/>
        <w:rPr>
          <w:sz w:val="20"/>
          <w:szCs w:val="20"/>
          <w:color w:val="auto"/>
        </w:rPr>
      </w:pPr>
    </w:p>
    <w:p>
      <w:pPr>
        <w:ind w:left="2260" w:hanging="405"/>
        <w:spacing w:after="0"/>
        <w:tabs>
          <w:tab w:leader="none" w:pos="2260" w:val="left"/>
        </w:tabs>
        <w:numPr>
          <w:ilvl w:val="0"/>
          <w:numId w:val="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undersigned Registrant hereby undertakes:</w:t>
      </w:r>
    </w:p>
    <w:p>
      <w:pPr>
        <w:spacing w:after="0" w:line="102" w:lineRule="exact"/>
        <w:rPr>
          <w:rFonts w:ascii="Times New Roman" w:cs="Times New Roman" w:eastAsia="Times New Roman" w:hAnsi="Times New Roman"/>
          <w:sz w:val="13"/>
          <w:szCs w:val="13"/>
          <w:color w:val="auto"/>
        </w:rPr>
      </w:pPr>
    </w:p>
    <w:p>
      <w:pPr>
        <w:ind w:left="2600" w:hanging="332"/>
        <w:spacing w:after="0"/>
        <w:tabs>
          <w:tab w:leader="none" w:pos="2600" w:val="left"/>
        </w:tabs>
        <w:numPr>
          <w:ilvl w:val="1"/>
          <w:numId w:val="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file, during any period in which offers or sales are being made, a post-effective amendment to this registration statement:</w:t>
      </w:r>
    </w:p>
    <w:p>
      <w:pPr>
        <w:spacing w:after="0" w:line="102" w:lineRule="exact"/>
        <w:rPr>
          <w:rFonts w:ascii="Times New Roman" w:cs="Times New Roman" w:eastAsia="Times New Roman" w:hAnsi="Times New Roman"/>
          <w:sz w:val="13"/>
          <w:szCs w:val="13"/>
          <w:color w:val="auto"/>
        </w:rPr>
      </w:pPr>
    </w:p>
    <w:p>
      <w:pPr>
        <w:ind w:left="3000" w:hanging="399"/>
        <w:spacing w:after="0"/>
        <w:tabs>
          <w:tab w:leader="none" w:pos="3000" w:val="left"/>
        </w:tabs>
        <w:numPr>
          <w:ilvl w:val="2"/>
          <w:numId w:val="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include any prospectus required by Section 10(a)(3) of the Securities Act;</w:t>
      </w:r>
    </w:p>
    <w:p>
      <w:pPr>
        <w:spacing w:after="0" w:line="102" w:lineRule="exact"/>
        <w:rPr>
          <w:rFonts w:ascii="Times New Roman" w:cs="Times New Roman" w:eastAsia="Times New Roman" w:hAnsi="Times New Roman"/>
          <w:sz w:val="13"/>
          <w:szCs w:val="13"/>
          <w:color w:val="auto"/>
        </w:rPr>
      </w:pPr>
    </w:p>
    <w:p>
      <w:pPr>
        <w:ind w:left="3000" w:right="419" w:hanging="399"/>
        <w:spacing w:after="0" w:line="265" w:lineRule="auto"/>
        <w:tabs>
          <w:tab w:leader="none" w:pos="3000" w:val="left"/>
        </w:tabs>
        <w:numPr>
          <w:ilvl w:val="2"/>
          <w:numId w:val="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percent change in the maximum aggregate offering price set forth in the “Calculation of Filing Fee Tables” in the effective registration statement; and</w:t>
      </w:r>
    </w:p>
    <w:p>
      <w:pPr>
        <w:spacing w:after="0" w:line="63" w:lineRule="exact"/>
        <w:rPr>
          <w:rFonts w:ascii="Times New Roman" w:cs="Times New Roman" w:eastAsia="Times New Roman" w:hAnsi="Times New Roman"/>
          <w:sz w:val="13"/>
          <w:szCs w:val="13"/>
          <w:color w:val="auto"/>
        </w:rPr>
      </w:pPr>
    </w:p>
    <w:p>
      <w:pPr>
        <w:ind w:left="3000" w:right="439" w:hanging="399"/>
        <w:spacing w:after="0" w:line="278" w:lineRule="auto"/>
        <w:tabs>
          <w:tab w:leader="none" w:pos="3000" w:val="left"/>
        </w:tabs>
        <w:numPr>
          <w:ilvl w:val="2"/>
          <w:numId w:val="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include any material information with respect to the plan of distribution not previously disclosed in this registration statement or any material change to such information in this registration statement; provided, however, that paragraphs (a)(1) (i), (a)(1)(ii) and (1)(iii)</w:t>
      </w:r>
    </w:p>
    <w:p>
      <w:pPr>
        <w:spacing w:after="0" w:line="7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II-3</w:t>
      </w:r>
    </w:p>
    <w:p>
      <w:pPr>
        <w:sectPr>
          <w:pgSz w:w="11900" w:h="16838" w:orient="portrait"/>
          <w:cols w:equalWidth="0" w:num="1">
            <w:col w:w="10159"/>
          </w:cols>
          <w:pgMar w:left="300" w:top="375" w:right="1440"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6">
                      <a:extLst>
                        <a:ext uri="{28A0092B-C50C-407E-A947-70E740481C1C}"/>
                      </a:extLst>
                    </a:blip>
                    <a:srcRect/>
                    <a:stretch>
                      <a:fillRect/>
                    </a:stretch>
                  </pic:blipFill>
                  <pic:spPr bwMode="auto">
                    <a:xfrm>
                      <a:off x="0" y="0"/>
                      <a:ext cx="7205345" cy="31750"/>
                    </a:xfrm>
                    <a:prstGeom prst="rect">
                      <a:avLst/>
                    </a:prstGeom>
                    <a:noFill/>
                  </pic:spPr>
                </pic:pic>
              </a:graphicData>
            </a:graphic>
          </wp:anchor>
        </w:drawing>
        <w:t>Table of Contents</w:t>
      </w:r>
    </w:p>
    <w:p>
      <w:pPr>
        <w:spacing w:after="0" w:line="248" w:lineRule="exact"/>
        <w:rPr>
          <w:sz w:val="20"/>
          <w:szCs w:val="20"/>
          <w:color w:val="auto"/>
        </w:rPr>
      </w:pPr>
    </w:p>
    <w:p>
      <w:pPr>
        <w:ind w:left="3000" w:right="419"/>
        <w:spacing w:after="0" w:line="270" w:lineRule="auto"/>
        <w:rPr>
          <w:sz w:val="20"/>
          <w:szCs w:val="20"/>
          <w:color w:val="auto"/>
        </w:rPr>
      </w:pPr>
      <w:r>
        <w:rPr>
          <w:rFonts w:ascii="Times New Roman" w:cs="Times New Roman" w:eastAsia="Times New Roman" w:hAnsi="Times New Roman"/>
          <w:sz w:val="13"/>
          <w:szCs w:val="13"/>
          <w:color w:val="auto"/>
        </w:rPr>
        <w:t>above do not apply if the information required to be included in a post-effective amendment by those paragraphs is contained in reports filed with or furnished to the SEC by the Registrant pursuant to Section 13 or Section 15(d) of the Securities Exchange Act of 1934, as amended (the “Exchange Act”) (15 U.S.C. 78m or 78o(d)), that are incorporated by reference in the registration statement, or is contained in a form of prospectus filed pursuant to Rule 424(b) that is part of the registration statement.</w:t>
      </w:r>
    </w:p>
    <w:p>
      <w:pPr>
        <w:spacing w:after="0" w:line="224" w:lineRule="exact"/>
        <w:rPr>
          <w:sz w:val="20"/>
          <w:szCs w:val="20"/>
          <w:color w:val="auto"/>
        </w:rPr>
      </w:pPr>
    </w:p>
    <w:p>
      <w:pPr>
        <w:ind w:left="2600" w:right="539" w:hanging="332"/>
        <w:spacing w:after="0" w:line="278" w:lineRule="auto"/>
        <w:tabs>
          <w:tab w:leader="none" w:pos="2600" w:val="left"/>
        </w:tabs>
        <w:numPr>
          <w:ilvl w:val="0"/>
          <w:numId w:val="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54" w:lineRule="exact"/>
        <w:rPr>
          <w:rFonts w:ascii="Times New Roman" w:cs="Times New Roman" w:eastAsia="Times New Roman" w:hAnsi="Times New Roman"/>
          <w:sz w:val="13"/>
          <w:szCs w:val="13"/>
          <w:color w:val="auto"/>
        </w:rPr>
      </w:pPr>
    </w:p>
    <w:p>
      <w:pPr>
        <w:ind w:left="2600" w:right="539" w:hanging="332"/>
        <w:spacing w:after="0" w:line="297" w:lineRule="auto"/>
        <w:tabs>
          <w:tab w:leader="none" w:pos="2600" w:val="left"/>
        </w:tabs>
        <w:numPr>
          <w:ilvl w:val="0"/>
          <w:numId w:val="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remove from registration by means of a post-effective amendment any of the securities being registered which remain unsold at the termination of the offering.</w:t>
      </w:r>
    </w:p>
    <w:p>
      <w:pPr>
        <w:spacing w:after="0" w:line="43" w:lineRule="exact"/>
        <w:rPr>
          <w:rFonts w:ascii="Times New Roman" w:cs="Times New Roman" w:eastAsia="Times New Roman" w:hAnsi="Times New Roman"/>
          <w:sz w:val="13"/>
          <w:szCs w:val="13"/>
          <w:color w:val="auto"/>
        </w:rPr>
      </w:pPr>
    </w:p>
    <w:p>
      <w:pPr>
        <w:ind w:left="2600" w:hanging="332"/>
        <w:spacing w:after="0"/>
        <w:tabs>
          <w:tab w:leader="none" w:pos="2600" w:val="left"/>
        </w:tabs>
        <w:numPr>
          <w:ilvl w:val="0"/>
          <w:numId w:val="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That, for the purpose of determining liability under the Securities Act to any purchaser:</w:t>
      </w:r>
    </w:p>
    <w:p>
      <w:pPr>
        <w:spacing w:after="0" w:line="102" w:lineRule="exact"/>
        <w:rPr>
          <w:rFonts w:ascii="Times New Roman" w:cs="Times New Roman" w:eastAsia="Times New Roman" w:hAnsi="Times New Roman"/>
          <w:sz w:val="13"/>
          <w:szCs w:val="13"/>
          <w:color w:val="auto"/>
        </w:rPr>
      </w:pPr>
    </w:p>
    <w:p>
      <w:pPr>
        <w:ind w:left="3000" w:right="459" w:hanging="399"/>
        <w:spacing w:after="0" w:line="297" w:lineRule="auto"/>
        <w:tabs>
          <w:tab w:leader="none" w:pos="3000" w:val="left"/>
        </w:tabs>
        <w:numPr>
          <w:ilvl w:val="1"/>
          <w:numId w:val="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43" w:lineRule="exact"/>
        <w:rPr>
          <w:rFonts w:ascii="Times New Roman" w:cs="Times New Roman" w:eastAsia="Times New Roman" w:hAnsi="Times New Roman"/>
          <w:sz w:val="13"/>
          <w:szCs w:val="13"/>
          <w:color w:val="auto"/>
        </w:rPr>
      </w:pPr>
    </w:p>
    <w:p>
      <w:pPr>
        <w:ind w:left="3000" w:right="419" w:hanging="399"/>
        <w:spacing w:after="0" w:line="262" w:lineRule="auto"/>
        <w:tabs>
          <w:tab w:leader="none" w:pos="3000" w:val="left"/>
        </w:tabs>
        <w:numPr>
          <w:ilvl w:val="1"/>
          <w:numId w:val="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the prospectus forms a part, and the offering of such securities at that time shall be deemed to be the initial bona fide offering thereof. Provided, however, that no statement made in a registration statement or prospectus that is part of this registration statement or made in a document incorporated or deemed incorporated by reference into this registration statement or prospectus that is a part of this registration statement will, as to a purchaser with a time of contract sale prior to such effective date, supersede or modify any statement that was made in this registration statement or prospectus that was a part of this registration statement or made in any such document immediately prior to such effective date.</w:t>
      </w:r>
    </w:p>
    <w:p>
      <w:pPr>
        <w:spacing w:after="0" w:line="228" w:lineRule="exact"/>
        <w:rPr>
          <w:rFonts w:ascii="Times New Roman" w:cs="Times New Roman" w:eastAsia="Times New Roman" w:hAnsi="Times New Roman"/>
          <w:sz w:val="13"/>
          <w:szCs w:val="13"/>
          <w:color w:val="auto"/>
        </w:rPr>
      </w:pPr>
    </w:p>
    <w:p>
      <w:pPr>
        <w:ind w:left="2600" w:right="399" w:hanging="332"/>
        <w:spacing w:after="0" w:line="268" w:lineRule="auto"/>
        <w:tabs>
          <w:tab w:leader="none" w:pos="2600" w:val="left"/>
        </w:tabs>
        <w:numPr>
          <w:ilvl w:val="0"/>
          <w:numId w:val="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That, for the purpose of determining liability of the Registrant under the Securities Act to any purchaser in the initial distribution of the securities,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62" w:lineRule="exact"/>
        <w:rPr>
          <w:rFonts w:ascii="Times New Roman" w:cs="Times New Roman" w:eastAsia="Times New Roman" w:hAnsi="Times New Roman"/>
          <w:sz w:val="13"/>
          <w:szCs w:val="13"/>
          <w:color w:val="auto"/>
        </w:rPr>
      </w:pPr>
    </w:p>
    <w:p>
      <w:pPr>
        <w:ind w:left="3000" w:right="519" w:hanging="399"/>
        <w:spacing w:after="0" w:line="297" w:lineRule="auto"/>
        <w:tabs>
          <w:tab w:leader="none" w:pos="3000" w:val="left"/>
        </w:tabs>
        <w:numPr>
          <w:ilvl w:val="1"/>
          <w:numId w:val="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preliminary prospectus or prospectus of the undersigned Registrant relating to the offering required to be filed pursuant to Rule 424;</w:t>
      </w:r>
    </w:p>
    <w:p>
      <w:pPr>
        <w:spacing w:after="0" w:line="43" w:lineRule="exact"/>
        <w:rPr>
          <w:rFonts w:ascii="Times New Roman" w:cs="Times New Roman" w:eastAsia="Times New Roman" w:hAnsi="Times New Roman"/>
          <w:sz w:val="13"/>
          <w:szCs w:val="13"/>
          <w:color w:val="auto"/>
        </w:rPr>
      </w:pPr>
    </w:p>
    <w:p>
      <w:pPr>
        <w:ind w:left="3000" w:right="439" w:hanging="399"/>
        <w:spacing w:after="0" w:line="297" w:lineRule="auto"/>
        <w:tabs>
          <w:tab w:leader="none" w:pos="3000" w:val="left"/>
        </w:tabs>
        <w:numPr>
          <w:ilvl w:val="1"/>
          <w:numId w:val="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free writing prospectus relating to the offering prepared by or on behalf of the undersigned Registrant or used or referred to by the undersigned Registrant;</w:t>
      </w:r>
    </w:p>
    <w:p>
      <w:pPr>
        <w:spacing w:after="0" w:line="43" w:lineRule="exact"/>
        <w:rPr>
          <w:rFonts w:ascii="Times New Roman" w:cs="Times New Roman" w:eastAsia="Times New Roman" w:hAnsi="Times New Roman"/>
          <w:sz w:val="13"/>
          <w:szCs w:val="13"/>
          <w:color w:val="auto"/>
        </w:rPr>
      </w:pPr>
    </w:p>
    <w:p>
      <w:pPr>
        <w:ind w:left="3000" w:right="419" w:hanging="399"/>
        <w:spacing w:after="0" w:line="297" w:lineRule="auto"/>
        <w:tabs>
          <w:tab w:leader="none" w:pos="3000" w:val="left"/>
        </w:tabs>
        <w:numPr>
          <w:ilvl w:val="1"/>
          <w:numId w:val="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portion of any other free writing prospectus relating to the offering containing material information about the undersigned Registrant or its securities provided by or on behalf of the undersigned Registrant; and</w:t>
      </w:r>
    </w:p>
    <w:p>
      <w:pPr>
        <w:spacing w:after="0" w:line="43" w:lineRule="exact"/>
        <w:rPr>
          <w:rFonts w:ascii="Times New Roman" w:cs="Times New Roman" w:eastAsia="Times New Roman" w:hAnsi="Times New Roman"/>
          <w:sz w:val="13"/>
          <w:szCs w:val="13"/>
          <w:color w:val="auto"/>
        </w:rPr>
      </w:pPr>
    </w:p>
    <w:p>
      <w:pPr>
        <w:ind w:left="3000" w:hanging="399"/>
        <w:spacing w:after="0"/>
        <w:tabs>
          <w:tab w:leader="none" w:pos="3000" w:val="left"/>
        </w:tabs>
        <w:numPr>
          <w:ilvl w:val="1"/>
          <w:numId w:val="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other communication that is an offer in the offering made by the undersigned Registrant to the purchaser.</w:t>
      </w:r>
    </w:p>
    <w:p>
      <w:pPr>
        <w:spacing w:after="0" w:line="12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II-4</w:t>
      </w:r>
    </w:p>
    <w:p>
      <w:pPr>
        <w:sectPr>
          <w:pgSz w:w="11900" w:h="16838" w:orient="portrait"/>
          <w:cols w:equalWidth="0" w:num="1">
            <w:col w:w="10159"/>
          </w:cols>
          <w:pgMar w:left="300" w:top="375" w:right="1440"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7">
                      <a:extLst>
                        <a:ext uri="{28A0092B-C50C-407E-A947-70E740481C1C}"/>
                      </a:extLst>
                    </a:blip>
                    <a:srcRect/>
                    <a:stretch>
                      <a:fillRect/>
                    </a:stretch>
                  </pic:blipFill>
                  <pic:spPr bwMode="auto">
                    <a:xfrm>
                      <a:off x="0" y="0"/>
                      <a:ext cx="7205345" cy="31750"/>
                    </a:xfrm>
                    <a:prstGeom prst="rect">
                      <a:avLst/>
                    </a:prstGeom>
                    <a:noFill/>
                  </pic:spPr>
                </pic:pic>
              </a:graphicData>
            </a:graphic>
          </wp:anchor>
        </w:drawing>
        <w:t>Table of Contents</w:t>
      </w:r>
    </w:p>
    <w:p>
      <w:pPr>
        <w:spacing w:after="0" w:line="248" w:lineRule="exact"/>
        <w:rPr>
          <w:sz w:val="20"/>
          <w:szCs w:val="20"/>
          <w:color w:val="auto"/>
        </w:rPr>
      </w:pPr>
    </w:p>
    <w:p>
      <w:pPr>
        <w:ind w:left="2260" w:right="439" w:hanging="405"/>
        <w:spacing w:after="0" w:line="270" w:lineRule="auto"/>
        <w:tabs>
          <w:tab w:leader="none" w:pos="2260" w:val="left"/>
        </w:tabs>
        <w:numPr>
          <w:ilvl w:val="0"/>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That, for purposes of determining any liability under the Securities Act, each filing of the Registrant’s annual report pursuant to Section 13(a) or 15(d) of the Exchange Act(and,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224" w:lineRule="exact"/>
        <w:rPr>
          <w:rFonts w:ascii="Times New Roman" w:cs="Times New Roman" w:eastAsia="Times New Roman" w:hAnsi="Times New Roman"/>
          <w:sz w:val="13"/>
          <w:szCs w:val="13"/>
          <w:color w:val="auto"/>
        </w:rPr>
      </w:pPr>
    </w:p>
    <w:p>
      <w:pPr>
        <w:ind w:left="2260" w:right="519" w:hanging="405"/>
        <w:spacing w:after="0" w:line="264" w:lineRule="auto"/>
        <w:tabs>
          <w:tab w:leader="none" w:pos="2260" w:val="left"/>
        </w:tabs>
        <w:numPr>
          <w:ilvl w:val="0"/>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against the Registrant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26" w:lineRule="exact"/>
        <w:rPr>
          <w:rFonts w:ascii="Times New Roman" w:cs="Times New Roman" w:eastAsia="Times New Roman" w:hAnsi="Times New Roman"/>
          <w:sz w:val="13"/>
          <w:szCs w:val="13"/>
          <w:color w:val="auto"/>
        </w:rPr>
      </w:pPr>
    </w:p>
    <w:p>
      <w:pPr>
        <w:jc w:val="both"/>
        <w:ind w:left="2260" w:right="439" w:hanging="405"/>
        <w:spacing w:after="0" w:line="278" w:lineRule="auto"/>
        <w:tabs>
          <w:tab w:leader="none" w:pos="2260" w:val="left"/>
        </w:tabs>
        <w:numPr>
          <w:ilvl w:val="0"/>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undersigned Registrant hereby undertakes to file an application for the purpose of determining the eligibility of the trustee to act under subsection (a) of Section 310 of the Trust Indenture Act of 1939 (the “Act”) in accordance with the rules and regulations prescribed by the SEC under Section 305(b)(2) of the Act.</w:t>
      </w:r>
    </w:p>
    <w:p>
      <w:pPr>
        <w:spacing w:after="0" w:line="7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II-5</w:t>
      </w:r>
    </w:p>
    <w:p>
      <w:pPr>
        <w:sectPr>
          <w:pgSz w:w="11900" w:h="16838" w:orient="portrait"/>
          <w:cols w:equalWidth="0" w:num="1">
            <w:col w:w="10159"/>
          </w:cols>
          <w:pgMar w:left="300" w:top="375" w:right="1440"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8">
                      <a:extLst>
                        <a:ext uri="{28A0092B-C50C-407E-A947-70E740481C1C}"/>
                      </a:extLst>
                    </a:blip>
                    <a:srcRect/>
                    <a:stretch>
                      <a:fillRect/>
                    </a:stretch>
                  </pic:blipFill>
                  <pic:spPr bwMode="auto">
                    <a:xfrm>
                      <a:off x="0" y="0"/>
                      <a:ext cx="7205345" cy="31750"/>
                    </a:xfrm>
                    <a:prstGeom prst="rect">
                      <a:avLst/>
                    </a:prstGeom>
                    <a:noFill/>
                  </pic:spPr>
                </pic:pic>
              </a:graphicData>
            </a:graphic>
          </wp:anchor>
        </w:drawing>
        <w:t>Table of Contents</w:t>
      </w:r>
    </w:p>
    <w:p>
      <w:pPr>
        <w:spacing w:after="0" w:line="24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SIGNATURES</w:t>
      </w:r>
    </w:p>
    <w:p>
      <w:pPr>
        <w:spacing w:after="0" w:line="177" w:lineRule="exact"/>
        <w:rPr>
          <w:sz w:val="20"/>
          <w:szCs w:val="20"/>
          <w:color w:val="auto"/>
        </w:rPr>
      </w:pPr>
    </w:p>
    <w:p>
      <w:pPr>
        <w:ind w:left="1540" w:right="799" w:firstLine="329"/>
        <w:spacing w:after="0" w:line="297" w:lineRule="auto"/>
        <w:rPr>
          <w:sz w:val="20"/>
          <w:szCs w:val="20"/>
          <w:color w:val="auto"/>
        </w:rPr>
      </w:pPr>
      <w:r>
        <w:rPr>
          <w:rFonts w:ascii="Times New Roman" w:cs="Times New Roman" w:eastAsia="Times New Roman" w:hAnsi="Times New Roman"/>
          <w:sz w:val="13"/>
          <w:szCs w:val="13"/>
          <w:color w:val="auto"/>
        </w:rPr>
        <w:t>Pursuant to the requirements of the Securities Act, the registrant has duly caused this registration statement to be signed on its behalf by the undersigned, thereunto duly authorized, in the City of San Diego, State of California, on May 15, 2026.</w:t>
      </w:r>
    </w:p>
    <w:p>
      <w:pPr>
        <w:spacing w:after="0" w:line="130"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3"/>
          <w:szCs w:val="13"/>
          <w:b w:val="1"/>
          <w:bCs w:val="1"/>
          <w:color w:val="auto"/>
        </w:rPr>
        <w:t>CIBUS, INC.</w:t>
      </w:r>
    </w:p>
    <w:p>
      <w:pPr>
        <w:spacing w:after="0" w:line="177"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3"/>
          <w:szCs w:val="13"/>
          <w:color w:val="auto"/>
        </w:rPr>
        <w:t>By: /s/ Peter Beetham</w:t>
      </w:r>
    </w:p>
    <w:p>
      <w:pPr>
        <w:spacing w:after="0" w:line="24"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3"/>
          <w:szCs w:val="13"/>
          <w:color w:val="auto"/>
        </w:rPr>
        <w:t>Name: Peter Beetham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4255770</wp:posOffset>
            </wp:positionH>
            <wp:positionV relativeFrom="paragraph">
              <wp:posOffset>-93980</wp:posOffset>
            </wp:positionV>
            <wp:extent cx="1938655" cy="635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9">
                      <a:extLst>
                        <a:ext uri="{28A0092B-C50C-407E-A947-70E740481C1C}"/>
                      </a:extLst>
                    </a:blip>
                    <a:srcRect/>
                    <a:stretch>
                      <a:fillRect/>
                    </a:stretch>
                  </pic:blipFill>
                  <pic:spPr bwMode="auto">
                    <a:xfrm>
                      <a:off x="0" y="0"/>
                      <a:ext cx="1938655" cy="6350"/>
                    </a:xfrm>
                    <a:prstGeom prst="rect">
                      <a:avLst/>
                    </a:prstGeom>
                    <a:noFill/>
                  </pic:spPr>
                </pic:pic>
              </a:graphicData>
            </a:graphic>
          </wp:anchor>
        </w:drawing>
      </w:r>
    </w:p>
    <w:p>
      <w:pPr>
        <w:ind w:left="6480"/>
        <w:spacing w:after="0"/>
        <w:rPr>
          <w:sz w:val="20"/>
          <w:szCs w:val="20"/>
          <w:color w:val="auto"/>
        </w:rPr>
      </w:pPr>
      <w:r>
        <w:rPr>
          <w:rFonts w:ascii="Times New Roman" w:cs="Times New Roman" w:eastAsia="Times New Roman" w:hAnsi="Times New Roman"/>
          <w:sz w:val="13"/>
          <w:szCs w:val="13"/>
          <w:color w:val="auto"/>
        </w:rPr>
        <w:t>Title: Interim Chief Executive Officer</w:t>
      </w:r>
    </w:p>
    <w:p>
      <w:pPr>
        <w:spacing w:after="0" w:line="161" w:lineRule="exact"/>
        <w:rPr>
          <w:sz w:val="20"/>
          <w:szCs w:val="20"/>
          <w:color w:val="auto"/>
        </w:rPr>
      </w:pPr>
    </w:p>
    <w:p>
      <w:pPr>
        <w:ind w:left="1540" w:right="479" w:firstLine="329"/>
        <w:spacing w:after="0" w:line="264" w:lineRule="auto"/>
        <w:rPr>
          <w:sz w:val="20"/>
          <w:szCs w:val="20"/>
          <w:color w:val="auto"/>
        </w:rPr>
      </w:pPr>
      <w:r>
        <w:rPr>
          <w:rFonts w:ascii="Times New Roman" w:cs="Times New Roman" w:eastAsia="Times New Roman" w:hAnsi="Times New Roman"/>
          <w:sz w:val="13"/>
          <w:szCs w:val="13"/>
          <w:color w:val="auto"/>
        </w:rPr>
        <w:t>KNOW ALL PERSONS BY THESE PRESENTS, that each person whose signature appears below hereby constitutes and appoints Peter Beetham, Cornelis (Carlo) Broos, and Jason Stokes, or any of them, as his or her true and lawful attorneys-in-fact and agents, each with full power of substitution and resubstitution, for him or her and in his or her name, place and stead, in any and all capacities, to sign any and all amendments, including post-effective amendments, to this registration statement, and any registration statement relating to the offering covered by this registration statement and filed pursuant to Rule 462(b) under the Securities Act of 1933, and to file the same, with exhibits thereto and other documents in connection therewith, with the Securities and Exchange Commission, granting unto said attorneys-in-fact and agents, and each of them, full power and authority to do and perform each and every act and thing requisite and necessary to be done, as fully for all intents and purposes as he or she might or could do in person, hereby ratifying and confirming all that each of said attorneys-in-fact and agents, or his or her substitute or substitutes may lawfully do or cause to be done by virtue hereof.</w:t>
      </w:r>
    </w:p>
    <w:p>
      <w:pPr>
        <w:spacing w:after="0" w:line="297" w:lineRule="exact"/>
        <w:rPr>
          <w:sz w:val="20"/>
          <w:szCs w:val="20"/>
          <w:color w:val="auto"/>
        </w:rPr>
      </w:pPr>
    </w:p>
    <w:p>
      <w:pPr>
        <w:ind w:left="1540" w:right="499" w:firstLine="329"/>
        <w:spacing w:after="0" w:line="297" w:lineRule="auto"/>
        <w:rPr>
          <w:sz w:val="20"/>
          <w:szCs w:val="20"/>
          <w:color w:val="auto"/>
        </w:rPr>
      </w:pPr>
      <w:r>
        <w:rPr>
          <w:rFonts w:ascii="Times New Roman" w:cs="Times New Roman" w:eastAsia="Times New Roman" w:hAnsi="Times New Roman"/>
          <w:sz w:val="13"/>
          <w:szCs w:val="13"/>
          <w:color w:val="auto"/>
        </w:rPr>
        <w:t>Pursuant to the requirements of the Securities Act, this registration statement has been signed by the following persons in the capacities indicated below on May 15, 2026.</w:t>
      </w:r>
    </w:p>
    <w:p>
      <w:pPr>
        <w:spacing w:after="0" w:line="134" w:lineRule="exact"/>
        <w:rPr>
          <w:sz w:val="20"/>
          <w:szCs w:val="20"/>
          <w:color w:val="auto"/>
        </w:rPr>
      </w:pPr>
    </w:p>
    <w:tbl>
      <w:tblPr>
        <w:tblLayout w:type="fixed"/>
        <w:tblInd w:w="1540" w:type="dxa"/>
        <w:tblCellMar>
          <w:top w:w="0" w:type="dxa"/>
          <w:left w:w="0" w:type="dxa"/>
          <w:bottom w:w="0" w:type="dxa"/>
          <w:right w:w="0" w:type="dxa"/>
        </w:tblCellMar>
      </w:tblPr>
      <w:tr>
        <w:trPr>
          <w:trHeight w:val="174"/>
        </w:trPr>
        <w:tc>
          <w:tcPr>
            <w:tcW w:w="3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/s/ Peter Beetham</w:t>
            </w:r>
          </w:p>
        </w:tc>
        <w:tc>
          <w:tcPr>
            <w:tcW w:w="3520" w:type="dxa"/>
            <w:vAlign w:val="bottom"/>
          </w:tcPr>
          <w:p>
            <w:pPr>
              <w:jc w:val="center"/>
              <w:ind w:left="1033"/>
              <w:spacing w:after="0"/>
              <w:rPr>
                <w:sz w:val="20"/>
                <w:szCs w:val="20"/>
                <w:color w:val="auto"/>
              </w:rPr>
            </w:pPr>
            <w:r>
              <w:rPr>
                <w:rFonts w:ascii="Times New Roman" w:cs="Times New Roman" w:eastAsia="Times New Roman" w:hAnsi="Times New Roman"/>
                <w:sz w:val="13"/>
                <w:szCs w:val="13"/>
                <w:color w:val="auto"/>
              </w:rPr>
              <w:t>Interim Chief Executive Officer and Director</w:t>
            </w:r>
          </w:p>
        </w:tc>
      </w:tr>
      <w:tr>
        <w:trPr>
          <w:trHeight w:val="164"/>
        </w:trPr>
        <w:tc>
          <w:tcPr>
            <w:tcW w:w="37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Peter Beetham</w:t>
            </w:r>
          </w:p>
        </w:tc>
        <w:tc>
          <w:tcPr>
            <w:tcW w:w="3520" w:type="dxa"/>
            <w:vAlign w:val="bottom"/>
          </w:tcPr>
          <w:p>
            <w:pPr>
              <w:jc w:val="center"/>
              <w:ind w:left="1033"/>
              <w:spacing w:after="0"/>
              <w:rPr>
                <w:sz w:val="20"/>
                <w:szCs w:val="20"/>
                <w:color w:val="auto"/>
              </w:rPr>
            </w:pPr>
            <w:r>
              <w:rPr>
                <w:rFonts w:ascii="Times New Roman" w:cs="Times New Roman" w:eastAsia="Times New Roman" w:hAnsi="Times New Roman"/>
                <w:sz w:val="13"/>
                <w:szCs w:val="13"/>
                <w:color w:val="auto"/>
              </w:rPr>
              <w:t>(Principal Executive Officer)</w:t>
            </w:r>
          </w:p>
        </w:tc>
      </w:tr>
      <w:tr>
        <w:trPr>
          <w:trHeight w:val="320"/>
        </w:trPr>
        <w:tc>
          <w:tcPr>
            <w:tcW w:w="3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/s/ Cornelis (Carlo) Broos</w:t>
            </w:r>
          </w:p>
        </w:tc>
        <w:tc>
          <w:tcPr>
            <w:tcW w:w="3520" w:type="dxa"/>
            <w:vAlign w:val="bottom"/>
          </w:tcPr>
          <w:p>
            <w:pPr>
              <w:jc w:val="center"/>
              <w:ind w:left="1033"/>
              <w:spacing w:after="0"/>
              <w:rPr>
                <w:sz w:val="20"/>
                <w:szCs w:val="20"/>
                <w:color w:val="auto"/>
              </w:rPr>
            </w:pPr>
            <w:r>
              <w:rPr>
                <w:rFonts w:ascii="Times New Roman" w:cs="Times New Roman" w:eastAsia="Times New Roman" w:hAnsi="Times New Roman"/>
                <w:sz w:val="13"/>
                <w:szCs w:val="13"/>
                <w:color w:val="auto"/>
              </w:rPr>
              <w:t>Chief Financial Officer</w:t>
            </w:r>
          </w:p>
        </w:tc>
      </w:tr>
      <w:tr>
        <w:trPr>
          <w:trHeight w:val="164"/>
        </w:trPr>
        <w:tc>
          <w:tcPr>
            <w:tcW w:w="37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Cornelis (Carlo) Broos</w:t>
            </w:r>
          </w:p>
        </w:tc>
        <w:tc>
          <w:tcPr>
            <w:tcW w:w="3520" w:type="dxa"/>
            <w:vAlign w:val="bottom"/>
          </w:tcPr>
          <w:p>
            <w:pPr>
              <w:jc w:val="center"/>
              <w:ind w:left="1033"/>
              <w:spacing w:after="0"/>
              <w:rPr>
                <w:sz w:val="20"/>
                <w:szCs w:val="20"/>
                <w:color w:val="auto"/>
              </w:rPr>
            </w:pPr>
            <w:r>
              <w:rPr>
                <w:rFonts w:ascii="Times New Roman" w:cs="Times New Roman" w:eastAsia="Times New Roman" w:hAnsi="Times New Roman"/>
                <w:sz w:val="13"/>
                <w:szCs w:val="13"/>
                <w:color w:val="auto"/>
              </w:rPr>
              <w:t>(Principal Financial and Accounting Officer)</w:t>
            </w:r>
          </w:p>
        </w:tc>
      </w:tr>
      <w:tr>
        <w:trPr>
          <w:trHeight w:val="320"/>
        </w:trPr>
        <w:tc>
          <w:tcPr>
            <w:tcW w:w="3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/s/ Rory Riggs</w:t>
            </w:r>
          </w:p>
        </w:tc>
        <w:tc>
          <w:tcPr>
            <w:tcW w:w="3520" w:type="dxa"/>
            <w:vAlign w:val="bottom"/>
          </w:tcPr>
          <w:p>
            <w:pPr>
              <w:jc w:val="center"/>
              <w:ind w:left="1033"/>
              <w:spacing w:after="0"/>
              <w:rPr>
                <w:sz w:val="20"/>
                <w:szCs w:val="20"/>
                <w:color w:val="auto"/>
              </w:rPr>
            </w:pPr>
            <w:r>
              <w:rPr>
                <w:rFonts w:ascii="Times New Roman" w:cs="Times New Roman" w:eastAsia="Times New Roman" w:hAnsi="Times New Roman"/>
                <w:sz w:val="13"/>
                <w:szCs w:val="13"/>
                <w:color w:val="auto"/>
              </w:rPr>
              <w:t>Director</w:t>
            </w:r>
          </w:p>
        </w:tc>
      </w:tr>
      <w:tr>
        <w:trPr>
          <w:trHeight w:val="164"/>
        </w:trPr>
        <w:tc>
          <w:tcPr>
            <w:tcW w:w="37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Rory Riggs</w:t>
            </w:r>
          </w:p>
        </w:tc>
        <w:tc>
          <w:tcPr>
            <w:tcW w:w="3520" w:type="dxa"/>
            <w:vAlign w:val="bottom"/>
          </w:tcPr>
          <w:p>
            <w:pPr>
              <w:spacing w:after="0"/>
              <w:rPr>
                <w:sz w:val="14"/>
                <w:szCs w:val="14"/>
                <w:color w:val="auto"/>
              </w:rPr>
            </w:pPr>
          </w:p>
        </w:tc>
      </w:tr>
      <w:tr>
        <w:trPr>
          <w:trHeight w:val="320"/>
        </w:trPr>
        <w:tc>
          <w:tcPr>
            <w:tcW w:w="3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/s/ Kimberly A. Box</w:t>
            </w:r>
          </w:p>
        </w:tc>
        <w:tc>
          <w:tcPr>
            <w:tcW w:w="3520" w:type="dxa"/>
            <w:vAlign w:val="bottom"/>
          </w:tcPr>
          <w:p>
            <w:pPr>
              <w:jc w:val="center"/>
              <w:ind w:left="1033"/>
              <w:spacing w:after="0"/>
              <w:rPr>
                <w:sz w:val="20"/>
                <w:szCs w:val="20"/>
                <w:color w:val="auto"/>
              </w:rPr>
            </w:pPr>
            <w:r>
              <w:rPr>
                <w:rFonts w:ascii="Times New Roman" w:cs="Times New Roman" w:eastAsia="Times New Roman" w:hAnsi="Times New Roman"/>
                <w:sz w:val="13"/>
                <w:szCs w:val="13"/>
                <w:color w:val="auto"/>
              </w:rPr>
              <w:t>Director</w:t>
            </w:r>
          </w:p>
        </w:tc>
      </w:tr>
      <w:tr>
        <w:trPr>
          <w:trHeight w:val="164"/>
        </w:trPr>
        <w:tc>
          <w:tcPr>
            <w:tcW w:w="37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Kimberly A. Box</w:t>
            </w:r>
          </w:p>
        </w:tc>
        <w:tc>
          <w:tcPr>
            <w:tcW w:w="3520" w:type="dxa"/>
            <w:vAlign w:val="bottom"/>
          </w:tcPr>
          <w:p>
            <w:pPr>
              <w:spacing w:after="0"/>
              <w:rPr>
                <w:sz w:val="14"/>
                <w:szCs w:val="14"/>
                <w:color w:val="auto"/>
              </w:rPr>
            </w:pPr>
          </w:p>
        </w:tc>
      </w:tr>
      <w:tr>
        <w:trPr>
          <w:trHeight w:val="320"/>
        </w:trPr>
        <w:tc>
          <w:tcPr>
            <w:tcW w:w="3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/s/ Mark Finn</w:t>
            </w:r>
          </w:p>
        </w:tc>
        <w:tc>
          <w:tcPr>
            <w:tcW w:w="3520" w:type="dxa"/>
            <w:vAlign w:val="bottom"/>
          </w:tcPr>
          <w:p>
            <w:pPr>
              <w:jc w:val="center"/>
              <w:ind w:left="1033"/>
              <w:spacing w:after="0"/>
              <w:rPr>
                <w:sz w:val="20"/>
                <w:szCs w:val="20"/>
                <w:color w:val="auto"/>
              </w:rPr>
            </w:pPr>
            <w:r>
              <w:rPr>
                <w:rFonts w:ascii="Times New Roman" w:cs="Times New Roman" w:eastAsia="Times New Roman" w:hAnsi="Times New Roman"/>
                <w:sz w:val="13"/>
                <w:szCs w:val="13"/>
                <w:color w:val="auto"/>
              </w:rPr>
              <w:t>Director</w:t>
            </w:r>
          </w:p>
        </w:tc>
      </w:tr>
      <w:tr>
        <w:trPr>
          <w:trHeight w:val="164"/>
        </w:trPr>
        <w:tc>
          <w:tcPr>
            <w:tcW w:w="37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Mark Finn</w:t>
            </w:r>
          </w:p>
        </w:tc>
        <w:tc>
          <w:tcPr>
            <w:tcW w:w="3520" w:type="dxa"/>
            <w:vAlign w:val="bottom"/>
          </w:tcPr>
          <w:p>
            <w:pPr>
              <w:spacing w:after="0"/>
              <w:rPr>
                <w:sz w:val="14"/>
                <w:szCs w:val="14"/>
                <w:color w:val="auto"/>
              </w:rPr>
            </w:pPr>
          </w:p>
        </w:tc>
      </w:tr>
      <w:tr>
        <w:trPr>
          <w:trHeight w:val="320"/>
        </w:trPr>
        <w:tc>
          <w:tcPr>
            <w:tcW w:w="3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/s/ Jean-Pierre Lehmann</w:t>
            </w:r>
          </w:p>
        </w:tc>
        <w:tc>
          <w:tcPr>
            <w:tcW w:w="3520" w:type="dxa"/>
            <w:vAlign w:val="bottom"/>
          </w:tcPr>
          <w:p>
            <w:pPr>
              <w:jc w:val="center"/>
              <w:ind w:left="1033"/>
              <w:spacing w:after="0"/>
              <w:rPr>
                <w:sz w:val="20"/>
                <w:szCs w:val="20"/>
                <w:color w:val="auto"/>
              </w:rPr>
            </w:pPr>
            <w:r>
              <w:rPr>
                <w:rFonts w:ascii="Times New Roman" w:cs="Times New Roman" w:eastAsia="Times New Roman" w:hAnsi="Times New Roman"/>
                <w:sz w:val="13"/>
                <w:szCs w:val="13"/>
                <w:color w:val="auto"/>
              </w:rPr>
              <w:t>Director</w:t>
            </w:r>
          </w:p>
        </w:tc>
      </w:tr>
      <w:tr>
        <w:trPr>
          <w:trHeight w:val="164"/>
        </w:trPr>
        <w:tc>
          <w:tcPr>
            <w:tcW w:w="37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Jean-Pierre Lehmann</w:t>
            </w:r>
          </w:p>
        </w:tc>
        <w:tc>
          <w:tcPr>
            <w:tcW w:w="3520" w:type="dxa"/>
            <w:vAlign w:val="bottom"/>
          </w:tcPr>
          <w:p>
            <w:pPr>
              <w:spacing w:after="0"/>
              <w:rPr>
                <w:sz w:val="14"/>
                <w:szCs w:val="14"/>
                <w:color w:val="auto"/>
              </w:rPr>
            </w:pPr>
          </w:p>
        </w:tc>
      </w:tr>
      <w:tr>
        <w:trPr>
          <w:trHeight w:val="320"/>
        </w:trPr>
        <w:tc>
          <w:tcPr>
            <w:tcW w:w="3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/s/ August Moretti</w:t>
            </w:r>
          </w:p>
        </w:tc>
        <w:tc>
          <w:tcPr>
            <w:tcW w:w="3520" w:type="dxa"/>
            <w:vAlign w:val="bottom"/>
          </w:tcPr>
          <w:p>
            <w:pPr>
              <w:jc w:val="center"/>
              <w:ind w:left="1033"/>
              <w:spacing w:after="0"/>
              <w:rPr>
                <w:sz w:val="20"/>
                <w:szCs w:val="20"/>
                <w:color w:val="auto"/>
              </w:rPr>
            </w:pPr>
            <w:r>
              <w:rPr>
                <w:rFonts w:ascii="Times New Roman" w:cs="Times New Roman" w:eastAsia="Times New Roman" w:hAnsi="Times New Roman"/>
                <w:sz w:val="13"/>
                <w:szCs w:val="13"/>
                <w:color w:val="auto"/>
              </w:rPr>
              <w:t>Director</w:t>
            </w:r>
          </w:p>
        </w:tc>
      </w:tr>
      <w:tr>
        <w:trPr>
          <w:trHeight w:val="164"/>
        </w:trPr>
        <w:tc>
          <w:tcPr>
            <w:tcW w:w="37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August Moretti</w:t>
            </w:r>
          </w:p>
        </w:tc>
        <w:tc>
          <w:tcPr>
            <w:tcW w:w="3520" w:type="dxa"/>
            <w:vAlign w:val="bottom"/>
          </w:tcPr>
          <w:p>
            <w:pPr>
              <w:spacing w:after="0"/>
              <w:rPr>
                <w:sz w:val="14"/>
                <w:szCs w:val="14"/>
                <w:color w:val="auto"/>
              </w:rPr>
            </w:pPr>
          </w:p>
        </w:tc>
      </w:tr>
      <w:tr>
        <w:trPr>
          <w:trHeight w:val="320"/>
        </w:trPr>
        <w:tc>
          <w:tcPr>
            <w:tcW w:w="3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/s/ Gerhard Prante</w:t>
            </w:r>
          </w:p>
        </w:tc>
        <w:tc>
          <w:tcPr>
            <w:tcW w:w="3520" w:type="dxa"/>
            <w:vAlign w:val="bottom"/>
          </w:tcPr>
          <w:p>
            <w:pPr>
              <w:jc w:val="center"/>
              <w:ind w:left="1033"/>
              <w:spacing w:after="0"/>
              <w:rPr>
                <w:sz w:val="20"/>
                <w:szCs w:val="20"/>
                <w:color w:val="auto"/>
              </w:rPr>
            </w:pPr>
            <w:r>
              <w:rPr>
                <w:rFonts w:ascii="Times New Roman" w:cs="Times New Roman" w:eastAsia="Times New Roman" w:hAnsi="Times New Roman"/>
                <w:sz w:val="13"/>
                <w:szCs w:val="13"/>
                <w:color w:val="auto"/>
              </w:rPr>
              <w:t>Director</w:t>
            </w:r>
          </w:p>
        </w:tc>
      </w:tr>
      <w:tr>
        <w:trPr>
          <w:trHeight w:val="164"/>
        </w:trPr>
        <w:tc>
          <w:tcPr>
            <w:tcW w:w="37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Gerhard Prante</w:t>
            </w:r>
          </w:p>
        </w:tc>
        <w:tc>
          <w:tcPr>
            <w:tcW w:w="3520" w:type="dxa"/>
            <w:vAlign w:val="bottom"/>
          </w:tcPr>
          <w:p>
            <w:pPr>
              <w:spacing w:after="0"/>
              <w:rPr>
                <w:sz w:val="14"/>
                <w:szCs w:val="14"/>
                <w:color w:val="auto"/>
              </w:rPr>
            </w:pPr>
          </w:p>
        </w:tc>
      </w:tr>
      <w:tr>
        <w:trPr>
          <w:trHeight w:val="320"/>
        </w:trPr>
        <w:tc>
          <w:tcPr>
            <w:tcW w:w="3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/s/ Thomas Urban</w:t>
            </w:r>
          </w:p>
        </w:tc>
        <w:tc>
          <w:tcPr>
            <w:tcW w:w="3520" w:type="dxa"/>
            <w:vAlign w:val="bottom"/>
          </w:tcPr>
          <w:p>
            <w:pPr>
              <w:jc w:val="center"/>
              <w:ind w:left="1033"/>
              <w:spacing w:after="0"/>
              <w:rPr>
                <w:sz w:val="20"/>
                <w:szCs w:val="20"/>
                <w:color w:val="auto"/>
              </w:rPr>
            </w:pPr>
            <w:r>
              <w:rPr>
                <w:rFonts w:ascii="Times New Roman" w:cs="Times New Roman" w:eastAsia="Times New Roman" w:hAnsi="Times New Roman"/>
                <w:sz w:val="13"/>
                <w:szCs w:val="13"/>
                <w:color w:val="auto"/>
              </w:rPr>
              <w:t>Director</w:t>
            </w:r>
          </w:p>
        </w:tc>
      </w:tr>
      <w:tr>
        <w:trPr>
          <w:trHeight w:val="164"/>
        </w:trPr>
        <w:tc>
          <w:tcPr>
            <w:tcW w:w="37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Thomas Urban</w:t>
            </w:r>
          </w:p>
        </w:tc>
        <w:tc>
          <w:tcPr>
            <w:tcW w:w="3520" w:type="dxa"/>
            <w:vAlign w:val="bottom"/>
          </w:tcPr>
          <w:p>
            <w:pPr>
              <w:spacing w:after="0"/>
              <w:rPr>
                <w:sz w:val="14"/>
                <w:szCs w:val="14"/>
                <w:color w:val="auto"/>
              </w:rPr>
            </w:pPr>
          </w:p>
        </w:tc>
      </w:tr>
      <w:tr>
        <w:trPr>
          <w:trHeight w:val="320"/>
        </w:trPr>
        <w:tc>
          <w:tcPr>
            <w:tcW w:w="3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/s/ Keith Walker</w:t>
            </w:r>
          </w:p>
        </w:tc>
        <w:tc>
          <w:tcPr>
            <w:tcW w:w="3520" w:type="dxa"/>
            <w:vAlign w:val="bottom"/>
          </w:tcPr>
          <w:p>
            <w:pPr>
              <w:jc w:val="center"/>
              <w:ind w:left="1033"/>
              <w:spacing w:after="0"/>
              <w:rPr>
                <w:sz w:val="20"/>
                <w:szCs w:val="20"/>
                <w:color w:val="auto"/>
              </w:rPr>
            </w:pPr>
            <w:r>
              <w:rPr>
                <w:rFonts w:ascii="Times New Roman" w:cs="Times New Roman" w:eastAsia="Times New Roman" w:hAnsi="Times New Roman"/>
                <w:sz w:val="13"/>
                <w:szCs w:val="13"/>
                <w:color w:val="auto"/>
              </w:rPr>
              <w:t>Director</w:t>
            </w:r>
          </w:p>
        </w:tc>
      </w:tr>
      <w:tr>
        <w:trPr>
          <w:trHeight w:val="164"/>
        </w:trPr>
        <w:tc>
          <w:tcPr>
            <w:tcW w:w="37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Keith Walker</w:t>
            </w:r>
          </w:p>
        </w:tc>
        <w:tc>
          <w:tcPr>
            <w:tcW w:w="3520" w:type="dxa"/>
            <w:vAlign w:val="bottom"/>
          </w:tcPr>
          <w:p>
            <w:pPr>
              <w:spacing w:after="0"/>
              <w:rPr>
                <w:sz w:val="14"/>
                <w:szCs w:val="14"/>
                <w:color w:val="auto"/>
              </w:rPr>
            </w:pPr>
          </w:p>
        </w:tc>
      </w:tr>
      <w:tr>
        <w:trPr>
          <w:trHeight w:val="320"/>
        </w:trPr>
        <w:tc>
          <w:tcPr>
            <w:tcW w:w="3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/s/ Craig Wichner</w:t>
            </w:r>
          </w:p>
        </w:tc>
        <w:tc>
          <w:tcPr>
            <w:tcW w:w="3520" w:type="dxa"/>
            <w:vAlign w:val="bottom"/>
          </w:tcPr>
          <w:p>
            <w:pPr>
              <w:jc w:val="center"/>
              <w:ind w:left="1033"/>
              <w:spacing w:after="0"/>
              <w:rPr>
                <w:sz w:val="20"/>
                <w:szCs w:val="20"/>
                <w:color w:val="auto"/>
              </w:rPr>
            </w:pPr>
            <w:r>
              <w:rPr>
                <w:rFonts w:ascii="Times New Roman" w:cs="Times New Roman" w:eastAsia="Times New Roman" w:hAnsi="Times New Roman"/>
                <w:sz w:val="13"/>
                <w:szCs w:val="13"/>
                <w:color w:val="auto"/>
              </w:rPr>
              <w:t>Director</w:t>
            </w:r>
          </w:p>
        </w:tc>
      </w:tr>
      <w:tr>
        <w:trPr>
          <w:trHeight w:val="164"/>
        </w:trPr>
        <w:tc>
          <w:tcPr>
            <w:tcW w:w="37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Craig Wichner</w:t>
            </w:r>
          </w:p>
        </w:tc>
        <w:tc>
          <w:tcPr>
            <w:tcW w:w="3520" w:type="dxa"/>
            <w:vAlign w:val="bottom"/>
          </w:tcPr>
          <w:p>
            <w:pPr>
              <w:spacing w:after="0"/>
              <w:rPr>
                <w:sz w:val="14"/>
                <w:szCs w:val="14"/>
                <w:color w:val="auto"/>
              </w:rPr>
            </w:pPr>
          </w:p>
        </w:tc>
      </w:tr>
    </w:tbl>
    <w:p>
      <w:pPr>
        <w:sectPr>
          <w:pgSz w:w="11900" w:h="16838" w:orient="portrait"/>
          <w:cols w:equalWidth="0" w:num="1">
            <w:col w:w="10159"/>
          </w:cols>
          <w:pgMar w:left="300" w:top="375" w:right="1440" w:bottom="1440" w:gutter="0" w:footer="0" w:header="0"/>
        </w:sectPr>
      </w:pPr>
    </w:p>
    <w:bookmarkStart w:id="105" w:name="page106"/>
    <w:bookmarkEnd w:id="105"/>
    <w:p>
      <w:pPr>
        <w:jc w:val="right"/>
        <w:ind w:right="399"/>
        <w:spacing w:after="0"/>
        <w:rPr>
          <w:sz w:val="20"/>
          <w:szCs w:val="20"/>
          <w:color w:val="auto"/>
        </w:rPr>
      </w:pPr>
      <w:r>
        <w:rPr>
          <w:rFonts w:ascii="Times New Roman" w:cs="Times New Roman" w:eastAsia="Times New Roman" w:hAnsi="Times New Roman"/>
          <w:sz w:val="13"/>
          <w:szCs w:val="13"/>
          <w:b w:val="1"/>
          <w:bCs w:val="1"/>
          <w:color w:val="auto"/>
        </w:rPr>
        <w:t>Exhibit 1.2</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u w:val="single" w:color="auto"/>
          <w:color w:val="auto"/>
        </w:rPr>
        <w:t>OPEN MARKET SALE AGREEMENT</w:t>
      </w:r>
      <w:r>
        <w:rPr>
          <w:rFonts w:ascii="Times New Roman" w:cs="Times New Roman" w:eastAsia="Times New Roman" w:hAnsi="Times New Roman"/>
          <w:sz w:val="20"/>
          <w:szCs w:val="20"/>
          <w:b w:val="1"/>
          <w:bCs w:val="1"/>
          <w:color w:val="auto"/>
          <w:vertAlign w:val="superscript"/>
        </w:rPr>
        <w:t>SM</w:t>
      </w:r>
    </w:p>
    <w:p>
      <w:pPr>
        <w:spacing w:after="0" w:line="97" w:lineRule="exact"/>
        <w:rPr>
          <w:sz w:val="20"/>
          <w:szCs w:val="20"/>
          <w:color w:val="auto"/>
        </w:rPr>
      </w:pPr>
    </w:p>
    <w:p>
      <w:pPr>
        <w:ind w:left="7860"/>
        <w:spacing w:after="0"/>
        <w:rPr>
          <w:sz w:val="20"/>
          <w:szCs w:val="20"/>
          <w:color w:val="auto"/>
        </w:rPr>
      </w:pPr>
      <w:r>
        <w:rPr>
          <w:rFonts w:ascii="Times New Roman" w:cs="Times New Roman" w:eastAsia="Times New Roman" w:hAnsi="Times New Roman"/>
          <w:sz w:val="13"/>
          <w:szCs w:val="13"/>
          <w:color w:val="auto"/>
        </w:rPr>
        <w:t>May 15, 2026</w:t>
      </w:r>
    </w:p>
    <w:p>
      <w:pPr>
        <w:spacing w:after="0" w:line="17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3"/>
          <w:szCs w:val="13"/>
          <w:color w:val="auto"/>
        </w:rPr>
        <w:t>JEFFERIES LLC</w:t>
      </w:r>
    </w:p>
    <w:p>
      <w:pPr>
        <w:spacing w:after="0" w:line="2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3"/>
          <w:szCs w:val="13"/>
          <w:color w:val="auto"/>
        </w:rPr>
        <w:t>520 Madison Avenue</w:t>
      </w:r>
    </w:p>
    <w:p>
      <w:pPr>
        <w:spacing w:after="0" w:line="1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3"/>
          <w:szCs w:val="13"/>
          <w:color w:val="auto"/>
        </w:rPr>
        <w:t>New York, New York 10022</w:t>
      </w:r>
    </w:p>
    <w:p>
      <w:pPr>
        <w:spacing w:after="0" w:line="16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3"/>
          <w:szCs w:val="13"/>
          <w:color w:val="auto"/>
        </w:rPr>
        <w:t>Ladies and Gentlemen:</w:t>
      </w:r>
    </w:p>
    <w:p>
      <w:pPr>
        <w:spacing w:after="0" w:line="88" w:lineRule="exact"/>
        <w:rPr>
          <w:sz w:val="20"/>
          <w:szCs w:val="20"/>
          <w:color w:val="auto"/>
        </w:rPr>
      </w:pPr>
    </w:p>
    <w:p>
      <w:pPr>
        <w:ind w:left="400" w:right="479" w:firstLine="329"/>
        <w:spacing w:after="0" w:line="273" w:lineRule="auto"/>
        <w:rPr>
          <w:sz w:val="20"/>
          <w:szCs w:val="20"/>
          <w:color w:val="auto"/>
        </w:rPr>
      </w:pPr>
      <w:r>
        <w:rPr>
          <w:rFonts w:ascii="Times New Roman" w:cs="Times New Roman" w:eastAsia="Times New Roman" w:hAnsi="Times New Roman"/>
          <w:sz w:val="13"/>
          <w:szCs w:val="13"/>
          <w:color w:val="auto"/>
        </w:rPr>
        <w:t>Cibus, Inc., a Delaware corporation (the “</w:t>
      </w:r>
      <w:r>
        <w:rPr>
          <w:rFonts w:ascii="Times New Roman" w:cs="Times New Roman" w:eastAsia="Times New Roman" w:hAnsi="Times New Roman"/>
          <w:sz w:val="13"/>
          <w:szCs w:val="13"/>
          <w:b w:val="1"/>
          <w:bCs w:val="1"/>
          <w:color w:val="auto"/>
        </w:rPr>
        <w:t>Company</w:t>
      </w:r>
      <w:r>
        <w:rPr>
          <w:rFonts w:ascii="Times New Roman" w:cs="Times New Roman" w:eastAsia="Times New Roman" w:hAnsi="Times New Roman"/>
          <w:sz w:val="13"/>
          <w:szCs w:val="13"/>
          <w:color w:val="auto"/>
        </w:rPr>
        <w:t>”), proposes, subject to the terms and conditions stated herein, to issue and sell from time to time through Jefferies LLC, as sales agent and/or principal (the “</w:t>
      </w:r>
      <w:r>
        <w:rPr>
          <w:rFonts w:ascii="Times New Roman" w:cs="Times New Roman" w:eastAsia="Times New Roman" w:hAnsi="Times New Roman"/>
          <w:sz w:val="13"/>
          <w:szCs w:val="13"/>
          <w:b w:val="1"/>
          <w:bCs w:val="1"/>
          <w:color w:val="auto"/>
        </w:rPr>
        <w:t>Agent</w:t>
      </w:r>
      <w:r>
        <w:rPr>
          <w:rFonts w:ascii="Times New Roman" w:cs="Times New Roman" w:eastAsia="Times New Roman" w:hAnsi="Times New Roman"/>
          <w:sz w:val="13"/>
          <w:szCs w:val="13"/>
          <w:color w:val="auto"/>
        </w:rPr>
        <w:t>”), shares of the Company’s Class A common stock, par value $0.0001 per share (the “</w:t>
      </w:r>
      <w:r>
        <w:rPr>
          <w:rFonts w:ascii="Times New Roman" w:cs="Times New Roman" w:eastAsia="Times New Roman" w:hAnsi="Times New Roman"/>
          <w:sz w:val="13"/>
          <w:szCs w:val="13"/>
          <w:b w:val="1"/>
          <w:bCs w:val="1"/>
          <w:color w:val="auto"/>
        </w:rPr>
        <w:t>Common Shares</w:t>
      </w:r>
      <w:r>
        <w:rPr>
          <w:rFonts w:ascii="Times New Roman" w:cs="Times New Roman" w:eastAsia="Times New Roman" w:hAnsi="Times New Roman"/>
          <w:sz w:val="13"/>
          <w:szCs w:val="13"/>
          <w:color w:val="auto"/>
        </w:rPr>
        <w:t>”), having an aggregate offering price of up to the Maximum Program Amount (as defined below) on the terms set forth in this agreement (this “</w:t>
      </w:r>
      <w:r>
        <w:rPr>
          <w:rFonts w:ascii="Times New Roman" w:cs="Times New Roman" w:eastAsia="Times New Roman" w:hAnsi="Times New Roman"/>
          <w:sz w:val="13"/>
          <w:szCs w:val="13"/>
          <w:b w:val="1"/>
          <w:bCs w:val="1"/>
          <w:color w:val="auto"/>
        </w:rPr>
        <w:t>Agreement</w:t>
      </w:r>
      <w:r>
        <w:rPr>
          <w:rFonts w:ascii="Times New Roman" w:cs="Times New Roman" w:eastAsia="Times New Roman" w:hAnsi="Times New Roman"/>
          <w:sz w:val="13"/>
          <w:szCs w:val="13"/>
          <w:color w:val="auto"/>
        </w:rPr>
        <w:t>”).</w:t>
      </w:r>
    </w:p>
    <w:p>
      <w:pPr>
        <w:spacing w:after="0" w:line="20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3"/>
          <w:szCs w:val="13"/>
          <w:b w:val="1"/>
          <w:bCs w:val="1"/>
          <w:color w:val="auto"/>
        </w:rPr>
        <w:t>Section 1. DEFINITIONS</w:t>
      </w:r>
    </w:p>
    <w:p>
      <w:pPr>
        <w:spacing w:after="0" w:line="96" w:lineRule="exact"/>
        <w:rPr>
          <w:sz w:val="20"/>
          <w:szCs w:val="20"/>
          <w:color w:val="auto"/>
        </w:rPr>
      </w:pPr>
    </w:p>
    <w:p>
      <w:pPr>
        <w:ind w:left="400" w:right="939" w:firstLine="321"/>
        <w:spacing w:after="0" w:line="297" w:lineRule="auto"/>
        <w:tabs>
          <w:tab w:leader="none" w:pos="911" w:val="left"/>
        </w:tabs>
        <w:numPr>
          <w:ilvl w:val="0"/>
          <w:numId w:val="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Certain Definitions</w:t>
      </w:r>
      <w:r>
        <w:rPr>
          <w:rFonts w:ascii="Times New Roman" w:cs="Times New Roman" w:eastAsia="Times New Roman" w:hAnsi="Times New Roman"/>
          <w:sz w:val="13"/>
          <w:szCs w:val="13"/>
          <w:color w:val="auto"/>
        </w:rPr>
        <w:t>. For purposes of this Agreement, capitalized terms used herein and not otherwise defined shall have the following respective meanings:</w:t>
      </w:r>
    </w:p>
    <w:p>
      <w:pPr>
        <w:spacing w:after="0" w:line="29" w:lineRule="exact"/>
        <w:rPr>
          <w:sz w:val="20"/>
          <w:szCs w:val="20"/>
          <w:color w:val="auto"/>
        </w:rPr>
      </w:pPr>
    </w:p>
    <w:p>
      <w:pPr>
        <w:ind w:left="400" w:right="479" w:firstLine="329"/>
        <w:spacing w:after="0" w:line="273"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Affiliate</w:t>
      </w:r>
      <w:r>
        <w:rPr>
          <w:rFonts w:ascii="Times New Roman" w:cs="Times New Roman" w:eastAsia="Times New Roman" w:hAnsi="Times New Roman"/>
          <w:sz w:val="13"/>
          <w:szCs w:val="13"/>
          <w:color w:val="auto"/>
        </w:rPr>
        <w:t>” of a Person means another Person that directly or indirectly, through one or more intermediaries, controls, is controlled by, or is under common control with, such first- mentioned Person. The term “control” (including the terms “controlling,” “controlled by” and “under common control with”) means the possession, direct or indirect, of the power to direct or cause the direction of the management and policies of a Person, whether through the ownership of voting securities, by contract or otherwise.</w:t>
      </w:r>
    </w:p>
    <w:p>
      <w:pPr>
        <w:spacing w:after="0" w:line="126" w:lineRule="exact"/>
        <w:rPr>
          <w:sz w:val="20"/>
          <w:szCs w:val="20"/>
          <w:color w:val="auto"/>
        </w:rPr>
      </w:pPr>
    </w:p>
    <w:p>
      <w:pPr>
        <w:ind w:left="400" w:right="419" w:firstLine="329"/>
        <w:spacing w:after="0" w:line="304"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Agency Period</w:t>
      </w:r>
      <w:r>
        <w:rPr>
          <w:rFonts w:ascii="Times New Roman" w:cs="Times New Roman" w:eastAsia="Times New Roman" w:hAnsi="Times New Roman"/>
          <w:sz w:val="13"/>
          <w:szCs w:val="13"/>
          <w:color w:val="auto"/>
        </w:rPr>
        <w:t xml:space="preserve">” means the period commencing on the date of this Agreement and expiring on the earliest to occur of (x) the date on which the Agent shall have placed the Maximum Program Amount pursuant to this Agreement and (y) the date this Agreement is terminated pursuant to </w:t>
      </w:r>
      <w:r>
        <w:rPr>
          <w:rFonts w:ascii="Times New Roman" w:cs="Times New Roman" w:eastAsia="Times New Roman" w:hAnsi="Times New Roman"/>
          <w:sz w:val="13"/>
          <w:szCs w:val="13"/>
          <w:u w:val="single" w:color="auto"/>
          <w:color w:val="auto"/>
        </w:rPr>
        <w:t>Section 7</w:t>
      </w:r>
      <w:r>
        <w:rPr>
          <w:rFonts w:ascii="Times New Roman" w:cs="Times New Roman" w:eastAsia="Times New Roman" w:hAnsi="Times New Roman"/>
          <w:sz w:val="13"/>
          <w:szCs w:val="13"/>
          <w:color w:val="auto"/>
        </w:rPr>
        <w:t>.</w:t>
      </w:r>
    </w:p>
    <w:p>
      <w:pPr>
        <w:spacing w:after="0" w:line="10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Commission</w:t>
      </w:r>
      <w:r>
        <w:rPr>
          <w:rFonts w:ascii="Times New Roman" w:cs="Times New Roman" w:eastAsia="Times New Roman" w:hAnsi="Times New Roman"/>
          <w:sz w:val="13"/>
          <w:szCs w:val="13"/>
          <w:color w:val="auto"/>
        </w:rPr>
        <w:t>” means the U.S. Securities and Exchange Commission.</w:t>
      </w:r>
    </w:p>
    <w:p>
      <w:pPr>
        <w:spacing w:after="0" w:line="17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Exchange Act</w:t>
      </w:r>
      <w:r>
        <w:rPr>
          <w:rFonts w:ascii="Times New Roman" w:cs="Times New Roman" w:eastAsia="Times New Roman" w:hAnsi="Times New Roman"/>
          <w:sz w:val="13"/>
          <w:szCs w:val="13"/>
          <w:color w:val="auto"/>
        </w:rPr>
        <w:t>” means the Securities Exchange Act of 1934, as amended, and the rules and regulations of the Commission thereunder.</w:t>
      </w:r>
    </w:p>
    <w:p>
      <w:pPr>
        <w:spacing w:after="0" w:line="173" w:lineRule="exact"/>
        <w:rPr>
          <w:sz w:val="20"/>
          <w:szCs w:val="20"/>
          <w:color w:val="auto"/>
        </w:rPr>
      </w:pPr>
    </w:p>
    <w:p>
      <w:pPr>
        <w:ind w:left="400" w:right="439" w:firstLine="329"/>
        <w:spacing w:after="0" w:line="273"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Floor Price</w:t>
      </w:r>
      <w:r>
        <w:rPr>
          <w:rFonts w:ascii="Times New Roman" w:cs="Times New Roman" w:eastAsia="Times New Roman" w:hAnsi="Times New Roman"/>
          <w:sz w:val="13"/>
          <w:szCs w:val="13"/>
          <w:color w:val="auto"/>
        </w:rPr>
        <w:t>” means the minimum price per share set by the Company in the applicable Issuance Notice below which the Agent shall not sell Shares during the applicable period set forth in the applicable Issuance Notice, which may be adjusted by the Company at any time during the period set forth in the applicable Issuance Notice by delivering written notice of such change to the Agent and which in no event shall be less than $1.00 without the prior written consent of the Agent, which may be withheld in the Agent’s sole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248920</wp:posOffset>
            </wp:positionH>
            <wp:positionV relativeFrom="paragraph">
              <wp:posOffset>58420</wp:posOffset>
            </wp:positionV>
            <wp:extent cx="575945" cy="635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0">
                      <a:extLst>
                        <a:ext uri="{28A0092B-C50C-407E-A947-70E740481C1C}"/>
                      </a:extLst>
                    </a:blip>
                    <a:srcRect/>
                    <a:stretch>
                      <a:fillRect/>
                    </a:stretch>
                  </pic:blipFill>
                  <pic:spPr bwMode="auto">
                    <a:xfrm>
                      <a:off x="0" y="0"/>
                      <a:ext cx="575945" cy="6350"/>
                    </a:xfrm>
                    <a:prstGeom prst="rect">
                      <a:avLst/>
                    </a:prstGeom>
                    <a:noFill/>
                  </pic:spPr>
                </pic:pic>
              </a:graphicData>
            </a:graphic>
          </wp:anchor>
        </w:drawing>
      </w:r>
    </w:p>
    <w:p>
      <w:pPr>
        <w:spacing w:after="0" w:line="34" w:lineRule="exact"/>
        <w:rPr>
          <w:sz w:val="20"/>
          <w:szCs w:val="20"/>
          <w:color w:val="auto"/>
        </w:rPr>
      </w:pPr>
    </w:p>
    <w:p>
      <w:pPr>
        <w:ind w:left="400"/>
        <w:spacing w:after="0"/>
        <w:tabs>
          <w:tab w:leader="none" w:pos="700" w:val="left"/>
        </w:tabs>
        <w:rPr>
          <w:sz w:val="20"/>
          <w:szCs w:val="20"/>
          <w:color w:val="auto"/>
        </w:rPr>
      </w:pPr>
      <w:r>
        <w:rPr>
          <w:rFonts w:ascii="Times New Roman" w:cs="Times New Roman" w:eastAsia="Times New Roman" w:hAnsi="Times New Roman"/>
          <w:sz w:val="20"/>
          <w:szCs w:val="20"/>
          <w:color w:val="auto"/>
          <w:vertAlign w:val="superscript"/>
        </w:rPr>
        <w:t>SM</w:t>
      </w:r>
      <w:r>
        <w:rPr>
          <w:sz w:val="20"/>
          <w:szCs w:val="20"/>
          <w:color w:val="auto"/>
        </w:rPr>
        <w:tab/>
      </w:r>
      <w:r>
        <w:rPr>
          <w:rFonts w:ascii="Times New Roman" w:cs="Times New Roman" w:eastAsia="Times New Roman" w:hAnsi="Times New Roman"/>
          <w:sz w:val="13"/>
          <w:szCs w:val="13"/>
          <w:color w:val="auto"/>
        </w:rPr>
        <w:t>“Open Market Sale Agreement” is a service mark of Jefferies LLC</w:t>
      </w:r>
    </w:p>
    <w:p>
      <w:pPr>
        <w:sectPr>
          <w:pgSz w:w="11900" w:h="16838" w:orient="portrait"/>
          <w:cols w:equalWidth="0" w:num="1">
            <w:col w:w="9019"/>
          </w:cols>
          <w:pgMar w:left="1440" w:top="123" w:right="1440" w:bottom="1440" w:gutter="0" w:footer="0" w:header="0"/>
        </w:sectPr>
      </w:pPr>
    </w:p>
    <w:bookmarkStart w:id="106" w:name="page107"/>
    <w:bookmarkEnd w:id="106"/>
    <w:p>
      <w:pPr>
        <w:ind w:left="72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1">
                      <a:extLst>
                        <a:ext uri="{28A0092B-C50C-407E-A947-70E740481C1C}"/>
                      </a:extLst>
                    </a:blip>
                    <a:srcRect/>
                    <a:stretch>
                      <a:fillRect/>
                    </a:stretch>
                  </pic:blipFill>
                  <pic:spPr bwMode="auto">
                    <a:xfrm>
                      <a:off x="0" y="0"/>
                      <a:ext cx="7205345" cy="31750"/>
                    </a:xfrm>
                    <a:prstGeom prst="rect">
                      <a:avLst/>
                    </a:prstGeom>
                    <a:noFill/>
                  </pic:spPr>
                </pic:pic>
              </a:graphicData>
            </a:graphic>
          </wp:anchor>
        </w:drawing>
        <w:t>“</w:t>
      </w:r>
      <w:r>
        <w:rPr>
          <w:rFonts w:ascii="Times New Roman" w:cs="Times New Roman" w:eastAsia="Times New Roman" w:hAnsi="Times New Roman"/>
          <w:sz w:val="13"/>
          <w:szCs w:val="13"/>
          <w:b w:val="1"/>
          <w:bCs w:val="1"/>
          <w:color w:val="auto"/>
        </w:rPr>
        <w:t>Issuance Amount</w:t>
      </w:r>
      <w:r>
        <w:rPr>
          <w:rFonts w:ascii="Times New Roman" w:cs="Times New Roman" w:eastAsia="Times New Roman" w:hAnsi="Times New Roman"/>
          <w:sz w:val="13"/>
          <w:szCs w:val="13"/>
          <w:color w:val="auto"/>
        </w:rPr>
        <w:t>” means the aggregate Sales Price of the Shares to be sold by the Agent pursuant to any Issuance Notice.</w:t>
      </w:r>
    </w:p>
    <w:p>
      <w:pPr>
        <w:spacing w:after="0" w:line="173" w:lineRule="exact"/>
        <w:rPr>
          <w:sz w:val="20"/>
          <w:szCs w:val="20"/>
          <w:color w:val="auto"/>
        </w:rPr>
      </w:pPr>
    </w:p>
    <w:p>
      <w:pPr>
        <w:ind w:left="400" w:right="499" w:firstLine="329"/>
        <w:spacing w:after="0" w:line="304"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Issuance Notice</w:t>
      </w:r>
      <w:r>
        <w:rPr>
          <w:rFonts w:ascii="Times New Roman" w:cs="Times New Roman" w:eastAsia="Times New Roman" w:hAnsi="Times New Roman"/>
          <w:sz w:val="13"/>
          <w:szCs w:val="13"/>
          <w:color w:val="auto"/>
        </w:rPr>
        <w:t xml:space="preserve">” means a written notice delivered to the Agent by the Company in accordance with this Agreement in the form attached hereto as </w:t>
      </w:r>
      <w:r>
        <w:rPr>
          <w:rFonts w:ascii="Times New Roman" w:cs="Times New Roman" w:eastAsia="Times New Roman" w:hAnsi="Times New Roman"/>
          <w:sz w:val="13"/>
          <w:szCs w:val="13"/>
          <w:u w:val="single" w:color="auto"/>
          <w:color w:val="auto"/>
        </w:rPr>
        <w:t>Exhibit A</w:t>
      </w:r>
      <w:r>
        <w:rPr>
          <w:rFonts w:ascii="Times New Roman" w:cs="Times New Roman" w:eastAsia="Times New Roman" w:hAnsi="Times New Roman"/>
          <w:sz w:val="13"/>
          <w:szCs w:val="13"/>
          <w:color w:val="auto"/>
        </w:rPr>
        <w:t xml:space="preserve"> that is executed by its Chief Executive Officer, President or Chief Financial Officer.</w:t>
      </w:r>
    </w:p>
    <w:p>
      <w:pPr>
        <w:spacing w:after="0" w:line="10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Issuance Notice Date</w:t>
      </w:r>
      <w:r>
        <w:rPr>
          <w:rFonts w:ascii="Times New Roman" w:cs="Times New Roman" w:eastAsia="Times New Roman" w:hAnsi="Times New Roman"/>
          <w:sz w:val="13"/>
          <w:szCs w:val="13"/>
          <w:color w:val="auto"/>
        </w:rPr>
        <w:t xml:space="preserve">” means any Trading Day during the Agency Period that an Issuance Notice is delivered pursuant to </w:t>
      </w:r>
      <w:r>
        <w:rPr>
          <w:rFonts w:ascii="Times New Roman" w:cs="Times New Roman" w:eastAsia="Times New Roman" w:hAnsi="Times New Roman"/>
          <w:sz w:val="13"/>
          <w:szCs w:val="13"/>
          <w:u w:val="single" w:color="auto"/>
          <w:color w:val="auto"/>
        </w:rPr>
        <w:t>Section 3(b)(i)</w:t>
      </w:r>
      <w:r>
        <w:rPr>
          <w:rFonts w:ascii="Times New Roman" w:cs="Times New Roman" w:eastAsia="Times New Roman" w:hAnsi="Times New Roman"/>
          <w:sz w:val="13"/>
          <w:szCs w:val="13"/>
          <w:color w:val="auto"/>
        </w:rPr>
        <w:t>.</w:t>
      </w:r>
    </w:p>
    <w:p>
      <w:pPr>
        <w:spacing w:after="0" w:line="17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Issuance Price</w:t>
      </w:r>
      <w:r>
        <w:rPr>
          <w:rFonts w:ascii="Times New Roman" w:cs="Times New Roman" w:eastAsia="Times New Roman" w:hAnsi="Times New Roman"/>
          <w:sz w:val="13"/>
          <w:szCs w:val="13"/>
          <w:color w:val="auto"/>
        </w:rPr>
        <w:t>” means the Sales Price less the Selling Commission.</w:t>
      </w:r>
    </w:p>
    <w:p>
      <w:pPr>
        <w:spacing w:after="0" w:line="173" w:lineRule="exact"/>
        <w:rPr>
          <w:sz w:val="20"/>
          <w:szCs w:val="20"/>
          <w:color w:val="auto"/>
        </w:rPr>
      </w:pPr>
    </w:p>
    <w:p>
      <w:pPr>
        <w:ind w:left="400" w:right="459" w:firstLine="329"/>
        <w:spacing w:after="0" w:line="26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Maximum Program Amount</w:t>
      </w:r>
      <w:r>
        <w:rPr>
          <w:rFonts w:ascii="Times New Roman" w:cs="Times New Roman" w:eastAsia="Times New Roman" w:hAnsi="Times New Roman"/>
          <w:sz w:val="13"/>
          <w:szCs w:val="13"/>
          <w:color w:val="auto"/>
        </w:rPr>
        <w:t>” means Common Shares with an aggregate Sales Price of the lesser of (a) the number or dollar amount of Common Shares registered under the effective Registration Statement (as defined below) pursuant to which the offering is being made, (b) the number of authorized but unissued Common Shares (less Common Shares issuable upon exercise, conversion or exchange of any outstanding securities of the Company or otherwise reserved from the Company’s authorized capital stock), (c) the number or dollar amount of Common Shares permitted to be sold under Form S-3 (including General Instruction I.B.6 thereof, if applicable), or (d) the number or dollar amount of Common Shares for which the Company has filed a Prospectus (as defined below).</w:t>
      </w:r>
    </w:p>
    <w:p>
      <w:pPr>
        <w:spacing w:after="0" w:line="131" w:lineRule="exact"/>
        <w:rPr>
          <w:sz w:val="20"/>
          <w:szCs w:val="20"/>
          <w:color w:val="auto"/>
        </w:rPr>
      </w:pPr>
    </w:p>
    <w:p>
      <w:pPr>
        <w:ind w:left="400" w:right="699" w:firstLine="329"/>
        <w:spacing w:after="0" w:line="304"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Person</w:t>
      </w:r>
      <w:r>
        <w:rPr>
          <w:rFonts w:ascii="Times New Roman" w:cs="Times New Roman" w:eastAsia="Times New Roman" w:hAnsi="Times New Roman"/>
          <w:sz w:val="13"/>
          <w:szCs w:val="13"/>
          <w:color w:val="auto"/>
        </w:rPr>
        <w:t>” means an individual or a corporation, partnership, limited liability company, trust, incorporated or unincorporated association, joint venture, joint stock company, governmental authority or other entity of any kind.</w:t>
      </w:r>
    </w:p>
    <w:p>
      <w:pPr>
        <w:spacing w:after="0" w:line="105" w:lineRule="exact"/>
        <w:rPr>
          <w:sz w:val="20"/>
          <w:szCs w:val="20"/>
          <w:color w:val="auto"/>
        </w:rPr>
      </w:pPr>
    </w:p>
    <w:p>
      <w:pPr>
        <w:ind w:left="400" w:right="599" w:firstLine="329"/>
        <w:spacing w:after="0" w:line="304"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Principal Market</w:t>
      </w:r>
      <w:r>
        <w:rPr>
          <w:rFonts w:ascii="Times New Roman" w:cs="Times New Roman" w:eastAsia="Times New Roman" w:hAnsi="Times New Roman"/>
          <w:sz w:val="13"/>
          <w:szCs w:val="13"/>
          <w:color w:val="auto"/>
        </w:rPr>
        <w:t>” means the Nasdaq Capital Market or such other national securities exchange on which the Common Shares, including any Shares, are then listed.</w:t>
      </w:r>
    </w:p>
    <w:p>
      <w:pPr>
        <w:spacing w:after="0" w:line="105" w:lineRule="exact"/>
        <w:rPr>
          <w:sz w:val="20"/>
          <w:szCs w:val="20"/>
          <w:color w:val="auto"/>
        </w:rPr>
      </w:pPr>
    </w:p>
    <w:p>
      <w:pPr>
        <w:ind w:left="400" w:right="519" w:firstLine="329"/>
        <w:spacing w:after="0" w:line="304"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Rule 462(b) Registration Statement</w:t>
      </w:r>
      <w:r>
        <w:rPr>
          <w:rFonts w:ascii="Times New Roman" w:cs="Times New Roman" w:eastAsia="Times New Roman" w:hAnsi="Times New Roman"/>
          <w:sz w:val="13"/>
          <w:szCs w:val="13"/>
          <w:color w:val="auto"/>
        </w:rPr>
        <w:t>” means any registration statement filed by the Company pursuant to Rule 462(b) under the Securities Act in connection with the offer and sale of Shares.</w:t>
      </w:r>
    </w:p>
    <w:p>
      <w:pPr>
        <w:spacing w:after="0" w:line="10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Sales Price</w:t>
      </w:r>
      <w:r>
        <w:rPr>
          <w:rFonts w:ascii="Times New Roman" w:cs="Times New Roman" w:eastAsia="Times New Roman" w:hAnsi="Times New Roman"/>
          <w:sz w:val="13"/>
          <w:szCs w:val="13"/>
          <w:color w:val="auto"/>
        </w:rPr>
        <w:t>” means the actual sale execution price of each Share placed by the Agent pursuant to this Agreement.</w:t>
      </w:r>
    </w:p>
    <w:p>
      <w:pPr>
        <w:spacing w:after="0" w:line="17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Securities Act</w:t>
      </w:r>
      <w:r>
        <w:rPr>
          <w:rFonts w:ascii="Times New Roman" w:cs="Times New Roman" w:eastAsia="Times New Roman" w:hAnsi="Times New Roman"/>
          <w:sz w:val="13"/>
          <w:szCs w:val="13"/>
          <w:color w:val="auto"/>
        </w:rPr>
        <w:t>” means the Securities Act of 1933, as amended, and the rules and regulations of the Commission thereunder.</w:t>
      </w:r>
    </w:p>
    <w:p>
      <w:pPr>
        <w:spacing w:after="0" w:line="173" w:lineRule="exact"/>
        <w:rPr>
          <w:sz w:val="20"/>
          <w:szCs w:val="20"/>
          <w:color w:val="auto"/>
        </w:rPr>
      </w:pPr>
    </w:p>
    <w:p>
      <w:pPr>
        <w:ind w:left="400" w:right="799" w:firstLine="329"/>
        <w:spacing w:after="0" w:line="304"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Selling Commission</w:t>
      </w:r>
      <w:r>
        <w:rPr>
          <w:rFonts w:ascii="Times New Roman" w:cs="Times New Roman" w:eastAsia="Times New Roman" w:hAnsi="Times New Roman"/>
          <w:sz w:val="13"/>
          <w:szCs w:val="13"/>
          <w:color w:val="auto"/>
        </w:rPr>
        <w:t>” means three percent (3.0%) of the gross proceeds of Shares sold pursuant to this Agreement, or as otherwise agreed between the Company and the Agent with respect to any Shares sold pursuant to this Agreement.</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w:t>
      </w:r>
    </w:p>
    <w:p>
      <w:pPr>
        <w:sectPr>
          <w:pgSz w:w="11900" w:h="16838" w:orient="portrait"/>
          <w:cols w:equalWidth="0" w:num="1">
            <w:col w:w="9019"/>
          </w:cols>
          <w:pgMar w:left="1440" w:top="234" w:right="1440" w:bottom="1440" w:gutter="0" w:footer="0" w:header="0"/>
        </w:sectPr>
      </w:pPr>
    </w:p>
    <w:bookmarkStart w:id="107" w:name="page108"/>
    <w:bookmarkEnd w:id="107"/>
    <w:p>
      <w:pPr>
        <w:ind w:left="400" w:right="559" w:firstLine="329"/>
        <w:spacing w:after="0" w:line="273"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2">
                      <a:extLst>
                        <a:ext uri="{28A0092B-C50C-407E-A947-70E740481C1C}"/>
                      </a:extLst>
                    </a:blip>
                    <a:srcRect/>
                    <a:stretch>
                      <a:fillRect/>
                    </a:stretch>
                  </pic:blipFill>
                  <pic:spPr bwMode="auto">
                    <a:xfrm>
                      <a:off x="0" y="0"/>
                      <a:ext cx="7205345" cy="31750"/>
                    </a:xfrm>
                    <a:prstGeom prst="rect">
                      <a:avLst/>
                    </a:prstGeom>
                    <a:noFill/>
                  </pic:spPr>
                </pic:pic>
              </a:graphicData>
            </a:graphic>
          </wp:anchor>
        </w:drawing>
        <w:t>“</w:t>
      </w:r>
      <w:r>
        <w:rPr>
          <w:rFonts w:ascii="Times New Roman" w:cs="Times New Roman" w:eastAsia="Times New Roman" w:hAnsi="Times New Roman"/>
          <w:sz w:val="13"/>
          <w:szCs w:val="13"/>
          <w:b w:val="1"/>
          <w:bCs w:val="1"/>
          <w:color w:val="auto"/>
        </w:rPr>
        <w:t>Settlement Date</w:t>
      </w:r>
      <w:r>
        <w:rPr>
          <w:rFonts w:ascii="Times New Roman" w:cs="Times New Roman" w:eastAsia="Times New Roman" w:hAnsi="Times New Roman"/>
          <w:sz w:val="13"/>
          <w:szCs w:val="13"/>
          <w:color w:val="auto"/>
        </w:rPr>
        <w:t>” means the first business day, or such other time period as required by the Exchange Act or by the rules promulgated thereunder, following each Trading Day during the period set forth in the applicable Issuance Notice on which Shares are sold pursuant to this Agreement, when the Company shall deliver to the Agent the amount of Shares sold on such Trading Day and the Agent shall deliver to the Company the Issuance Price received on such sales.</w:t>
      </w:r>
    </w:p>
    <w:p>
      <w:pPr>
        <w:spacing w:after="0" w:line="12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Shares</w:t>
      </w:r>
      <w:r>
        <w:rPr>
          <w:rFonts w:ascii="Times New Roman" w:cs="Times New Roman" w:eastAsia="Times New Roman" w:hAnsi="Times New Roman"/>
          <w:sz w:val="13"/>
          <w:szCs w:val="13"/>
          <w:color w:val="auto"/>
        </w:rPr>
        <w:t>” means the Company’s Common Shares issued or issuable pursuant to this Agreement.</w:t>
      </w:r>
    </w:p>
    <w:p>
      <w:pPr>
        <w:spacing w:after="0" w:line="17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Trading Day</w:t>
      </w:r>
      <w:r>
        <w:rPr>
          <w:rFonts w:ascii="Times New Roman" w:cs="Times New Roman" w:eastAsia="Times New Roman" w:hAnsi="Times New Roman"/>
          <w:sz w:val="13"/>
          <w:szCs w:val="13"/>
          <w:color w:val="auto"/>
        </w:rPr>
        <w:t>” means any day on which the Principal Market is open for trading.</w:t>
      </w:r>
    </w:p>
    <w:p>
      <w:pPr>
        <w:spacing w:after="0" w:line="25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3"/>
          <w:szCs w:val="13"/>
          <w:b w:val="1"/>
          <w:bCs w:val="1"/>
          <w:color w:val="auto"/>
        </w:rPr>
        <w:t>Section 2. REPRESENTATIONS AND WARRANTIES OF THE COMPANY</w:t>
      </w:r>
    </w:p>
    <w:p>
      <w:pPr>
        <w:spacing w:after="0" w:line="9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3"/>
          <w:szCs w:val="13"/>
          <w:color w:val="auto"/>
        </w:rPr>
        <w:t>The Company represents and warrants to, and agrees with, the Agent that as of (1) the date of this Agreement, (2) each Issuance Notice Date,</w:t>
      </w:r>
    </w:p>
    <w:p>
      <w:pPr>
        <w:spacing w:after="0" w:line="24" w:lineRule="exact"/>
        <w:rPr>
          <w:sz w:val="20"/>
          <w:szCs w:val="20"/>
          <w:color w:val="auto"/>
        </w:rPr>
      </w:pPr>
    </w:p>
    <w:p>
      <w:pPr>
        <w:ind w:left="400" w:right="419" w:hanging="8"/>
        <w:spacing w:after="0" w:line="262" w:lineRule="auto"/>
        <w:tabs>
          <w:tab w:leader="none" w:pos="590" w:val="left"/>
        </w:tabs>
        <w:numPr>
          <w:ilvl w:val="0"/>
          <w:numId w:val="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Settlement Date, (4) each Triggering Event Date (as defined below), provided that, in the case of this clause (4), to the extent that the certificate under Section 4(o) of this Agreement is waived, the Representation Date shall be similarly deferred until the applicable date on which a certificate in conformity with Section 4(o) is delivered in accordance with that section, with respect to which the Company is required to deliver a certificate pursuant to Section 4(o) of this Agreement and (5) as of each Time of Sale (as defined below) (each of the times referenced above is referred to herein as a “</w:t>
      </w:r>
      <w:r>
        <w:rPr>
          <w:rFonts w:ascii="Times New Roman" w:cs="Times New Roman" w:eastAsia="Times New Roman" w:hAnsi="Times New Roman"/>
          <w:sz w:val="13"/>
          <w:szCs w:val="13"/>
          <w:b w:val="1"/>
          <w:bCs w:val="1"/>
          <w:color w:val="auto"/>
        </w:rPr>
        <w:t>Representation Date</w:t>
      </w:r>
      <w:r>
        <w:rPr>
          <w:rFonts w:ascii="Times New Roman" w:cs="Times New Roman" w:eastAsia="Times New Roman" w:hAnsi="Times New Roman"/>
          <w:sz w:val="13"/>
          <w:szCs w:val="13"/>
          <w:color w:val="auto"/>
        </w:rPr>
        <w:t>”), except (i) as may be disclosed in the Prospectus (as defined below) (including any documents incorporated by reference therein and any supplements thereto) on or before a Representation Date and (ii) insofar as such representation, warranty or agreement specifies a different time as of which such representation, warranty or agreement is made:</w:t>
      </w:r>
    </w:p>
    <w:p>
      <w:pPr>
        <w:spacing w:after="0" w:line="54" w:lineRule="exact"/>
        <w:rPr>
          <w:rFonts w:ascii="Times New Roman" w:cs="Times New Roman" w:eastAsia="Times New Roman" w:hAnsi="Times New Roman"/>
          <w:sz w:val="13"/>
          <w:szCs w:val="13"/>
          <w:color w:val="auto"/>
        </w:rPr>
      </w:pPr>
    </w:p>
    <w:p>
      <w:pPr>
        <w:ind w:left="400" w:right="419" w:firstLine="321"/>
        <w:spacing w:after="0" w:line="260" w:lineRule="auto"/>
        <w:tabs>
          <w:tab w:leader="none" w:pos="911" w:val="left"/>
        </w:tabs>
        <w:numPr>
          <w:ilvl w:val="1"/>
          <w:numId w:val="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Registration Statement</w:t>
      </w:r>
      <w:r>
        <w:rPr>
          <w:rFonts w:ascii="Times New Roman" w:cs="Times New Roman" w:eastAsia="Times New Roman" w:hAnsi="Times New Roman"/>
          <w:sz w:val="13"/>
          <w:szCs w:val="13"/>
          <w:color w:val="auto"/>
        </w:rPr>
        <w:t>. The Company will prepare and file, or has prepared and filed, with the Commission a shelf registration statement on Form S-3, as amended, that contains a base prospectus (the “</w:t>
      </w:r>
      <w:r>
        <w:rPr>
          <w:rFonts w:ascii="Times New Roman" w:cs="Times New Roman" w:eastAsia="Times New Roman" w:hAnsi="Times New Roman"/>
          <w:sz w:val="13"/>
          <w:szCs w:val="13"/>
          <w:b w:val="1"/>
          <w:bCs w:val="1"/>
          <w:color w:val="auto"/>
        </w:rPr>
        <w:t>Base Prospectus</w:t>
      </w:r>
      <w:r>
        <w:rPr>
          <w:rFonts w:ascii="Times New Roman" w:cs="Times New Roman" w:eastAsia="Times New Roman" w:hAnsi="Times New Roman"/>
          <w:sz w:val="13"/>
          <w:szCs w:val="13"/>
          <w:color w:val="auto"/>
        </w:rPr>
        <w:t>”) relating to certain of the Company’s securities, including the Company’s Common Shares, and a prospectus supplement (the “</w:t>
      </w:r>
      <w:r>
        <w:rPr>
          <w:rFonts w:ascii="Times New Roman" w:cs="Times New Roman" w:eastAsia="Times New Roman" w:hAnsi="Times New Roman"/>
          <w:sz w:val="13"/>
          <w:szCs w:val="13"/>
          <w:b w:val="1"/>
          <w:bCs w:val="1"/>
          <w:color w:val="auto"/>
        </w:rPr>
        <w:t>Prospectus Supplement</w:t>
      </w:r>
      <w:r>
        <w:rPr>
          <w:rFonts w:ascii="Times New Roman" w:cs="Times New Roman" w:eastAsia="Times New Roman" w:hAnsi="Times New Roman"/>
          <w:sz w:val="13"/>
          <w:szCs w:val="13"/>
          <w:color w:val="auto"/>
        </w:rPr>
        <w:t>”) relating specifically to the Shares. Such registration statement registers or will register the issuance and sale by the Company of the Shares under the Securities Act. The Company may file one or more additional registration statements from time to time that will contain a base prospectus and related prospectus or prospectus supplement, if applicable, with respect to the Shares. Except where the context otherwise requires, such registration statement(s), including any information deemed to be a part thereof pursuant to Rule 430B under the Securities Act, including all financial statements, exhibits and schedules thereto and all documents incorporated or deemed to be incorporated therein by reference pursuant to Item 12 of Form S-3 under the Securities Act as from time to time amended or supplemented, is herein referred to as the “</w:t>
      </w:r>
      <w:r>
        <w:rPr>
          <w:rFonts w:ascii="Times New Roman" w:cs="Times New Roman" w:eastAsia="Times New Roman" w:hAnsi="Times New Roman"/>
          <w:sz w:val="13"/>
          <w:szCs w:val="13"/>
          <w:b w:val="1"/>
          <w:bCs w:val="1"/>
          <w:color w:val="auto"/>
        </w:rPr>
        <w:t>Registration Statement</w:t>
      </w:r>
      <w:r>
        <w:rPr>
          <w:rFonts w:ascii="Times New Roman" w:cs="Times New Roman" w:eastAsia="Times New Roman" w:hAnsi="Times New Roman"/>
          <w:sz w:val="13"/>
          <w:szCs w:val="13"/>
          <w:color w:val="auto"/>
        </w:rPr>
        <w:t>,” and the base prospectus constituting a part of such registration statement(s), together with the Prospectus Supplement and any other prospectus supplement filed with the Commission pursuant to Rule 424(b) under the Securities Act relating to a particular issuance of the Shares (including Shares to be issued from time to time), including all documents incorporated or deemed to be incorporated therein by reference pursuant to Item 12 of Form S-3 under the Securities Act, in each case, as from time to time amended or supplemented, is referred to herein as the “</w:t>
      </w:r>
      <w:r>
        <w:rPr>
          <w:rFonts w:ascii="Times New Roman" w:cs="Times New Roman" w:eastAsia="Times New Roman" w:hAnsi="Times New Roman"/>
          <w:sz w:val="13"/>
          <w:szCs w:val="13"/>
          <w:b w:val="1"/>
          <w:bCs w:val="1"/>
          <w:color w:val="auto"/>
        </w:rPr>
        <w:t>Prospectus</w:t>
      </w:r>
      <w:r>
        <w:rPr>
          <w:rFonts w:ascii="Times New Roman" w:cs="Times New Roman" w:eastAsia="Times New Roman" w:hAnsi="Times New Roman"/>
          <w:sz w:val="13"/>
          <w:szCs w:val="13"/>
          <w:color w:val="auto"/>
        </w:rPr>
        <w:t>,” except that if any revised prospectus is provided to the Agent by the Company for use in connection with the offering of the Shares that is not required to be filed by the Company pursuant to Rule 424(b) under the Securities Act, the term “</w:t>
      </w:r>
      <w:r>
        <w:rPr>
          <w:rFonts w:ascii="Times New Roman" w:cs="Times New Roman" w:eastAsia="Times New Roman" w:hAnsi="Times New Roman"/>
          <w:sz w:val="13"/>
          <w:szCs w:val="13"/>
          <w:b w:val="1"/>
          <w:bCs w:val="1"/>
          <w:color w:val="auto"/>
        </w:rPr>
        <w:t>Prospectus</w:t>
      </w:r>
      <w:r>
        <w:rPr>
          <w:rFonts w:ascii="Times New Roman" w:cs="Times New Roman" w:eastAsia="Times New Roman" w:hAnsi="Times New Roman"/>
          <w:sz w:val="13"/>
          <w:szCs w:val="13"/>
          <w:color w:val="auto"/>
        </w:rPr>
        <w:t>” shall refer to such revised prospectus from and after the time it is first provided to the Agent for such use. The Registration Statement at the time it originally became effective is herein called the “</w:t>
      </w:r>
      <w:r>
        <w:rPr>
          <w:rFonts w:ascii="Times New Roman" w:cs="Times New Roman" w:eastAsia="Times New Roman" w:hAnsi="Times New Roman"/>
          <w:sz w:val="13"/>
          <w:szCs w:val="13"/>
          <w:b w:val="1"/>
          <w:bCs w:val="1"/>
          <w:color w:val="auto"/>
        </w:rPr>
        <w:t>Original Registration Statement</w:t>
      </w:r>
      <w:r>
        <w:rPr>
          <w:rFonts w:ascii="Times New Roman" w:cs="Times New Roman" w:eastAsia="Times New Roman" w:hAnsi="Times New Roman"/>
          <w:sz w:val="13"/>
          <w:szCs w:val="13"/>
          <w:color w:val="auto"/>
        </w:rPr>
        <w:t>.” As used in this Agreement, the terms “amend,” “amendment” or “supplement” when applied to the Registration Statement or the Prospectus, as applicable, shall be deemed to include the filing by the Company with the Commission of any document under the Exchange Act after the date hereof or the date of such Prospectus, respectively, that is or is deemed to be incorporated therein by reference. For purposes of this Agreement, except where the context requires otherwise, all references to the Registration Statement, the Prospectus or to any amendment or supplement thereto shall be deemed to include the most recent copy filed with the Commission.</w:t>
      </w: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w:t>
      </w:r>
    </w:p>
    <w:p>
      <w:pPr>
        <w:sectPr>
          <w:pgSz w:w="11900" w:h="16838" w:orient="portrait"/>
          <w:cols w:equalWidth="0" w:num="1">
            <w:col w:w="9019"/>
          </w:cols>
          <w:pgMar w:left="1440" w:top="234" w:right="1440" w:bottom="1440" w:gutter="0" w:footer="0" w:header="0"/>
        </w:sectPr>
      </w:pPr>
    </w:p>
    <w:bookmarkStart w:id="108" w:name="page109"/>
    <w:bookmarkEnd w:id="108"/>
    <w:p>
      <w:pPr>
        <w:ind w:left="400" w:right="399" w:firstLine="329"/>
        <w:spacing w:after="0" w:line="263"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3">
                      <a:extLst>
                        <a:ext uri="{28A0092B-C50C-407E-A947-70E740481C1C}"/>
                      </a:extLst>
                    </a:blip>
                    <a:srcRect/>
                    <a:stretch>
                      <a:fillRect/>
                    </a:stretch>
                  </pic:blipFill>
                  <pic:spPr bwMode="auto">
                    <a:xfrm>
                      <a:off x="0" y="0"/>
                      <a:ext cx="7205345" cy="31750"/>
                    </a:xfrm>
                    <a:prstGeom prst="rect">
                      <a:avLst/>
                    </a:prstGeom>
                    <a:noFill/>
                  </pic:spPr>
                </pic:pic>
              </a:graphicData>
            </a:graphic>
          </wp:anchor>
        </w:drawing>
        <w:t>All references in this Agreement to financial statements and schedules and other information which is “contained,” “included” or “stated” in the Registration Statement or the Prospectus (and all other references of like import) shall be deemed to mean and include all such financial statements and schedules and other information which is or is deemed to be incorporated by reference in or otherwise deemed under the Securities Act to be a part of or included in the Registration Statement or the Prospectus, as the case may be, as of any specified date; and all references in this Agreement to amendments or supplements to the Registration Statement or the Prospectus, as applicable, shall be deemed to mean and include, without limitation, the filing of any document under the Exchange Act which is or is deemed to be incorporated by reference in or otherwise deemed under the Securities Act to be a part of or included in the Registration Statement or the Prospectus, as the case may be, as of any specified date. The Company’s obligations under this Agreement to furnish, provide, deliver or make available (and all other references of like import) copies of any report or statement shall be deemed satisfied if the same is filed with the Commission through its Electronic Data Gathering, Analysis and Retrieval system (“</w:t>
      </w:r>
      <w:r>
        <w:rPr>
          <w:rFonts w:ascii="Times New Roman" w:cs="Times New Roman" w:eastAsia="Times New Roman" w:hAnsi="Times New Roman"/>
          <w:sz w:val="13"/>
          <w:szCs w:val="13"/>
          <w:b w:val="1"/>
          <w:bCs w:val="1"/>
          <w:color w:val="auto"/>
        </w:rPr>
        <w:t>EDGAR</w:t>
      </w:r>
      <w:r>
        <w:rPr>
          <w:rFonts w:ascii="Times New Roman" w:cs="Times New Roman" w:eastAsia="Times New Roman" w:hAnsi="Times New Roman"/>
          <w:sz w:val="13"/>
          <w:szCs w:val="13"/>
          <w:color w:val="auto"/>
        </w:rPr>
        <w:t>”).</w:t>
      </w:r>
    </w:p>
    <w:p>
      <w:pPr>
        <w:spacing w:after="0" w:line="138" w:lineRule="exact"/>
        <w:rPr>
          <w:sz w:val="20"/>
          <w:szCs w:val="20"/>
          <w:color w:val="auto"/>
        </w:rPr>
      </w:pPr>
    </w:p>
    <w:p>
      <w:pPr>
        <w:ind w:left="400" w:right="519" w:firstLine="329"/>
        <w:spacing w:after="0" w:line="275" w:lineRule="auto"/>
        <w:rPr>
          <w:sz w:val="20"/>
          <w:szCs w:val="20"/>
          <w:color w:val="auto"/>
        </w:rPr>
      </w:pPr>
      <w:r>
        <w:rPr>
          <w:rFonts w:ascii="Times New Roman" w:cs="Times New Roman" w:eastAsia="Times New Roman" w:hAnsi="Times New Roman"/>
          <w:sz w:val="13"/>
          <w:szCs w:val="13"/>
          <w:color w:val="auto"/>
        </w:rPr>
        <w:t>At the time the Registration Statement was or will be originally declared effective, the Company met or will meet the then-applicable requirements for use of Form S-3 under the Securities Act. During the Agency Period, each time the Company files an annual report on Form 10-K the Company will meet the then-applicable requirements for use of Form S-3 under the Securities Act or promptly notify the Agent of any failure to meet such requirements.</w:t>
      </w:r>
    </w:p>
    <w:p>
      <w:pPr>
        <w:spacing w:after="0" w:line="292" w:lineRule="exact"/>
        <w:rPr>
          <w:sz w:val="20"/>
          <w:szCs w:val="20"/>
          <w:color w:val="auto"/>
        </w:rPr>
      </w:pPr>
    </w:p>
    <w:p>
      <w:pPr>
        <w:ind w:left="400" w:right="479" w:firstLine="321"/>
        <w:spacing w:after="0" w:line="265" w:lineRule="auto"/>
        <w:tabs>
          <w:tab w:leader="none" w:pos="919" w:val="left"/>
        </w:tabs>
        <w:numPr>
          <w:ilvl w:val="0"/>
          <w:numId w:val="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Compliance with Registration Requirements</w:t>
      </w:r>
      <w:r>
        <w:rPr>
          <w:rFonts w:ascii="Times New Roman" w:cs="Times New Roman" w:eastAsia="Times New Roman" w:hAnsi="Times New Roman"/>
          <w:sz w:val="13"/>
          <w:szCs w:val="13"/>
          <w:color w:val="auto"/>
        </w:rPr>
        <w:t>. Prior to the first Issuance Notice Date, the Original Registration Statement and any registration statement filed under Rule 462(b) under the Securities Act (a Rule 462(b) Registration Statement) will have been declared effective by the Commission under the Securities Act or will otherwise become effective in accordance with the provisions of the Securities Act prior to the offer and sale of the Shares pursuant to this Agreement. The Company has complied and will comply to the Commission’s satisfaction with all requests of the Commission for additional or supplemental information. No stop order suspending the effectiveness of the Registration Statement or any Rule 462(b) Registration Statement is in effect and no proceedings for such purpose will have been instituted or be pending or, to the best knowledge of the Company, be contemplated or threatened by the Commission prior to the offer and sale of the Shares pursuant to this Agreement.</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w:t>
      </w:r>
    </w:p>
    <w:p>
      <w:pPr>
        <w:sectPr>
          <w:pgSz w:w="11900" w:h="16838" w:orient="portrait"/>
          <w:cols w:equalWidth="0" w:num="1">
            <w:col w:w="9019"/>
          </w:cols>
          <w:pgMar w:left="1440" w:top="238" w:right="1440" w:bottom="1440" w:gutter="0" w:footer="0" w:header="0"/>
        </w:sectPr>
      </w:pPr>
    </w:p>
    <w:bookmarkStart w:id="109" w:name="page110"/>
    <w:bookmarkEnd w:id="109"/>
    <w:p>
      <w:pPr>
        <w:ind w:left="400" w:right="419" w:firstLine="329"/>
        <w:spacing w:after="0" w:line="261"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4">
                      <a:extLst>
                        <a:ext uri="{28A0092B-C50C-407E-A947-70E740481C1C}"/>
                      </a:extLst>
                    </a:blip>
                    <a:srcRect/>
                    <a:stretch>
                      <a:fillRect/>
                    </a:stretch>
                  </pic:blipFill>
                  <pic:spPr bwMode="auto">
                    <a:xfrm>
                      <a:off x="0" y="0"/>
                      <a:ext cx="7205345" cy="31750"/>
                    </a:xfrm>
                    <a:prstGeom prst="rect">
                      <a:avLst/>
                    </a:prstGeom>
                    <a:noFill/>
                  </pic:spPr>
                </pic:pic>
              </a:graphicData>
            </a:graphic>
          </wp:anchor>
        </w:drawing>
        <w:t>The Prospectus when filed with the Commission complied in all material respects with the Securities Act and, if filed with the Commission through EDGAR (except as may be permitted by Regulation S-T under the Securities Act), will be identical to the copy thereof delivered to the Agent for use in connection with the issuance and sale of the Shares. Each of the Registration Statement, any Rule 462(b) Registration Statement and any post-effective amendment thereto, at the time it became or becomes effective and at each Representation Date, complied and will comply in all material respects with the Securities Act and did not and will not contain any untrue statement of a material fact or omit to state a material fact required to be stated therein or necessary in order to make the statements therein not misleading. As of the date of this Agreement, the Prospectus and any Free Writing Prospectus (as defined below) considered together (collectively, the “</w:t>
      </w:r>
      <w:r>
        <w:rPr>
          <w:rFonts w:ascii="Times New Roman" w:cs="Times New Roman" w:eastAsia="Times New Roman" w:hAnsi="Times New Roman"/>
          <w:sz w:val="13"/>
          <w:szCs w:val="13"/>
          <w:b w:val="1"/>
          <w:bCs w:val="1"/>
          <w:color w:val="auto"/>
        </w:rPr>
        <w:t>Time of Sale Information</w:t>
      </w:r>
      <w:r>
        <w:rPr>
          <w:rFonts w:ascii="Times New Roman" w:cs="Times New Roman" w:eastAsia="Times New Roman" w:hAnsi="Times New Roman"/>
          <w:sz w:val="13"/>
          <w:szCs w:val="13"/>
          <w:color w:val="auto"/>
        </w:rPr>
        <w:t xml:space="preserve">”) did not contain any untrue statement of a material fact or omit to state a material fact necessary in order to make the statements therein, in the light of the circumstances under which they were made, not misleading. The Prospectus, as amended or supplemented, as of its date and at each Representation Date, did not and will not contain any untrue statement of a material fact or omit to state a material fact necessary in order to make the statements therein, in the light of the circumstances under which they were made, not misleading. The representations and warranties set forth in the three immediately preceding sentences do not apply to statements in or omissions from the Registration Statement, any Rule 462(b) Registration Statement, or any post-effective amendment thereto, or the Prospectus, or any amendments or supplements thereto, made in reliance upon and in conformity with information relating to the Agent furnished to the Company in writing by the Agent expressly for use therein, it being understood and agreed that the only such information furnished by the Agent to the Company consists of the information described in </w:t>
      </w:r>
      <w:r>
        <w:rPr>
          <w:rFonts w:ascii="Times New Roman" w:cs="Times New Roman" w:eastAsia="Times New Roman" w:hAnsi="Times New Roman"/>
          <w:sz w:val="13"/>
          <w:szCs w:val="13"/>
          <w:u w:val="single" w:color="auto"/>
          <w:color w:val="auto"/>
        </w:rPr>
        <w:t>Section 6</w:t>
      </w:r>
      <w:r>
        <w:rPr>
          <w:rFonts w:ascii="Times New Roman" w:cs="Times New Roman" w:eastAsia="Times New Roman" w:hAnsi="Times New Roman"/>
          <w:sz w:val="13"/>
          <w:szCs w:val="13"/>
          <w:color w:val="auto"/>
        </w:rPr>
        <w:t xml:space="preserve"> below. There are no contracts or other documents required to be described in the Prospectus or to be filed as exhibits to the Registration Statement which have not been or will not be described or filed as required. The Registration Statement and the offer and sale of the Shares as contemplated hereby meet or will meet the requirements of Rule 415 under the Securities Act and comply in all material respects with said rule.</w:t>
      </w:r>
    </w:p>
    <w:p>
      <w:pPr>
        <w:spacing w:after="0" w:line="300" w:lineRule="exact"/>
        <w:rPr>
          <w:sz w:val="20"/>
          <w:szCs w:val="20"/>
          <w:color w:val="auto"/>
        </w:rPr>
      </w:pPr>
    </w:p>
    <w:p>
      <w:pPr>
        <w:ind w:left="400" w:right="419" w:firstLine="321"/>
        <w:spacing w:after="0" w:line="262" w:lineRule="auto"/>
        <w:tabs>
          <w:tab w:leader="none" w:pos="911" w:val="left"/>
        </w:tabs>
        <w:numPr>
          <w:ilvl w:val="0"/>
          <w:numId w:val="4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Ineligible Issuer Status</w:t>
      </w:r>
      <w:r>
        <w:rPr>
          <w:rFonts w:ascii="Times New Roman" w:cs="Times New Roman" w:eastAsia="Times New Roman" w:hAnsi="Times New Roman"/>
          <w:sz w:val="13"/>
          <w:szCs w:val="13"/>
          <w:color w:val="auto"/>
        </w:rPr>
        <w:t>. The Company is not an “ineligible issuer” in connection with the offering of the Shares pursuant to Rules 164, 405 and 433 under the Securities Act. Any Free Writing Prospectus (as defined below) that the Company is required to file pursuant to Rule 433(d) under the Securities Act has been, or will be, filed with the Commission in accordance with the requirements of the Securities Act. Each Free Writing Prospectus (as defined below) that the Company has filed, or is required to file, pursuant to Rule 433(d) under the Securities Act or that was prepared by or on behalf of or used or referred to by the Company complies or will comply in all material respects with the requirements of Rule 433 under the Securities Act including timely filing with the Commission or retention where required and legending, and each such Free Writing Prospectus (as defined below), as of its issue date and at each Representation Date through the completion of the issuance and sale of the Shares did not, does not and will not include any information that conflicted, conflicts with or will conflict with the information contained in the Registration Statement or the Prospectus, including any document incorporated by reference therein. Except for the Free Writing Prospectuses (as defined below), if any, and electronic road shows relating to the offering of the Shares, if any, furnished to the Agent before first use, the Company has not prepared, used or referred to, and will not, without the Agent’s prior consent, prepare, use or refer to, any Free Writing Prospectus (as defined below) relating to the offering of the Shares.</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5</w:t>
      </w:r>
    </w:p>
    <w:p>
      <w:pPr>
        <w:sectPr>
          <w:pgSz w:w="11900" w:h="16838" w:orient="portrait"/>
          <w:cols w:equalWidth="0" w:num="1">
            <w:col w:w="9019"/>
          </w:cols>
          <w:pgMar w:left="1440" w:top="238" w:right="1440" w:bottom="1440" w:gutter="0" w:footer="0" w:header="0"/>
        </w:sectPr>
      </w:pPr>
    </w:p>
    <w:bookmarkStart w:id="110" w:name="page111"/>
    <w:bookmarkEnd w:id="110"/>
    <w:p>
      <w:pPr>
        <w:ind w:left="400" w:right="419" w:firstLine="321"/>
        <w:spacing w:after="0" w:line="270" w:lineRule="auto"/>
        <w:tabs>
          <w:tab w:leader="none" w:pos="919" w:val="left"/>
        </w:tabs>
        <w:numPr>
          <w:ilvl w:val="0"/>
          <w:numId w:val="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5">
                      <a:extLst>
                        <a:ext uri="{28A0092B-C50C-407E-A947-70E740481C1C}"/>
                      </a:extLst>
                    </a:blip>
                    <a:srcRect/>
                    <a:stretch>
                      <a:fillRect/>
                    </a:stretch>
                  </pic:blipFill>
                  <pic:spPr bwMode="auto">
                    <a:xfrm>
                      <a:off x="0" y="0"/>
                      <a:ext cx="7205345" cy="31750"/>
                    </a:xfrm>
                    <a:prstGeom prst="rect">
                      <a:avLst/>
                    </a:prstGeom>
                    <a:noFill/>
                  </pic:spPr>
                </pic:pic>
              </a:graphicData>
            </a:graphic>
          </wp:anchor>
        </w:drawing>
        <w:t>Incorporated Documents</w:t>
      </w:r>
      <w:r>
        <w:rPr>
          <w:rFonts w:ascii="Times New Roman" w:cs="Times New Roman" w:eastAsia="Times New Roman" w:hAnsi="Times New Roman"/>
          <w:sz w:val="13"/>
          <w:szCs w:val="13"/>
          <w:color w:val="auto"/>
        </w:rPr>
        <w:t>. The documents incorporated or deemed to be incorporated by reference in the Registration Statement and the Prospectus, at the time they were filed with the Commission, complied in all material respects with the requirements of the Exchange Act, as applicable, and, when read together with the other information in the Prospectus, do not contain an untrue statement of a material fact or omit to state a material fact required to be stated therein or necessary in order to make the statements therein, in light of the circumstances under which they were made, not misleading.</w:t>
      </w:r>
    </w:p>
    <w:p>
      <w:pPr>
        <w:spacing w:after="0" w:line="294" w:lineRule="exact"/>
        <w:rPr>
          <w:rFonts w:ascii="Times New Roman" w:cs="Times New Roman" w:eastAsia="Times New Roman" w:hAnsi="Times New Roman"/>
          <w:sz w:val="13"/>
          <w:szCs w:val="13"/>
          <w:color w:val="auto"/>
        </w:rPr>
      </w:pPr>
    </w:p>
    <w:p>
      <w:pPr>
        <w:ind w:left="400" w:right="459" w:firstLine="321"/>
        <w:spacing w:after="0" w:line="266" w:lineRule="auto"/>
        <w:tabs>
          <w:tab w:leader="none" w:pos="911" w:val="left"/>
        </w:tabs>
        <w:numPr>
          <w:ilvl w:val="0"/>
          <w:numId w:val="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Exchange Act Compliance</w:t>
      </w:r>
      <w:r>
        <w:rPr>
          <w:rFonts w:ascii="Times New Roman" w:cs="Times New Roman" w:eastAsia="Times New Roman" w:hAnsi="Times New Roman"/>
          <w:sz w:val="13"/>
          <w:szCs w:val="13"/>
          <w:color w:val="auto"/>
        </w:rPr>
        <w:t>. The documents incorporated or deemed to be incorporated by reference in the Prospectus, at the time they were or hereafter are filed with the Commission, and any Free Writing Prospectus (as defined below) or amendment or supplement thereto complied and will comply in all material respects with the requirements of the Exchange Act, and, when read together with the other information in the Prospectus, at the time the Registration Statement and any amendments thereto become effective and at each Time of Sale (as defined below), as the case may be, will not contain an untrue statement of a material fact or omit to state a material fact required to be stated therein or necessary in order to make the statements therein, in the light of the circumstances under which they were made, not misleading.</w:t>
      </w:r>
    </w:p>
    <w:p>
      <w:pPr>
        <w:spacing w:after="0" w:line="134" w:lineRule="exact"/>
        <w:rPr>
          <w:rFonts w:ascii="Times New Roman" w:cs="Times New Roman" w:eastAsia="Times New Roman" w:hAnsi="Times New Roman"/>
          <w:sz w:val="13"/>
          <w:szCs w:val="13"/>
          <w:color w:val="auto"/>
        </w:rPr>
      </w:pPr>
    </w:p>
    <w:p>
      <w:pPr>
        <w:ind w:left="400" w:right="479" w:firstLine="321"/>
        <w:spacing w:after="0" w:line="278" w:lineRule="auto"/>
        <w:tabs>
          <w:tab w:leader="none" w:pos="896" w:val="left"/>
        </w:tabs>
        <w:numPr>
          <w:ilvl w:val="0"/>
          <w:numId w:val="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Statistical and Market-Related Data</w:t>
      </w:r>
      <w:r>
        <w:rPr>
          <w:rFonts w:ascii="Times New Roman" w:cs="Times New Roman" w:eastAsia="Times New Roman" w:hAnsi="Times New Roman"/>
          <w:sz w:val="13"/>
          <w:szCs w:val="13"/>
          <w:color w:val="auto"/>
        </w:rPr>
        <w:t>. All statistical, demographic and market-related data included in the Registration Statement or the Prospectus are based on or derived from sources that the Company believes, after reasonable inquiry, to be reliable and accurate. To the extent required, the Company has obtained the written consent for the use of such data from such sources.</w:t>
      </w:r>
    </w:p>
    <w:p>
      <w:pPr>
        <w:spacing w:after="0" w:line="125" w:lineRule="exact"/>
        <w:rPr>
          <w:rFonts w:ascii="Times New Roman" w:cs="Times New Roman" w:eastAsia="Times New Roman" w:hAnsi="Times New Roman"/>
          <w:sz w:val="13"/>
          <w:szCs w:val="13"/>
          <w:color w:val="auto"/>
        </w:rPr>
      </w:pPr>
    </w:p>
    <w:p>
      <w:pPr>
        <w:ind w:left="400" w:right="479" w:firstLine="321"/>
        <w:spacing w:after="0" w:line="262" w:lineRule="auto"/>
        <w:tabs>
          <w:tab w:leader="none" w:pos="919" w:val="left"/>
        </w:tabs>
        <w:numPr>
          <w:ilvl w:val="0"/>
          <w:numId w:val="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Disclosure Controls and Procedures; Deficiencies in or Changes to Internal Control Over Financial Reporting</w:t>
      </w:r>
      <w:r>
        <w:rPr>
          <w:rFonts w:ascii="Times New Roman" w:cs="Times New Roman" w:eastAsia="Times New Roman" w:hAnsi="Times New Roman"/>
          <w:sz w:val="13"/>
          <w:szCs w:val="13"/>
          <w:color w:val="auto"/>
        </w:rPr>
        <w:t>. Except as described in the Registration Statement and the Prospectus, the Company has established and maintains disclosure controls and procedures (as defined in Rules 13a-15 and 15d-15 under the Exchange Act), which (i) are designed to ensure that material information relating to the Company, including its consolidated subsidiaries, is made known to the Company’s principal executive officer and its principal financial officer by others within those entities, particularly during the periods in which the periodic reports required under the Exchange Act are being prepared; (ii) have been evaluated by management of the Company for effectiveness as of the end of the Company’s most recent fiscal quarter; and (iii) are effective in all material respects to perform the functions for which they were established. Except as described in the Registration Statement and the Prospectus, since the end of the Company’s most recent audited fiscal year, there has been no material weakness in the Company’s internal control over financial reporting (whether or not remediated) and no change in the Company’s internal control over financial reporting that has materially affected, or is reasonably likely to materially affect, the Company’s internal control over financial reporting. Except as described in the Registration Statement and the Prospectus, the Company is not aware of any change in its internal control over financial reporting that has occurred during its most recent fiscal quarter that has materially affected, or is reasonably likely to materially affect, the Company’s internal control over financial reporting.</w:t>
      </w:r>
    </w:p>
    <w:p>
      <w:pPr>
        <w:spacing w:after="0" w:line="137" w:lineRule="exact"/>
        <w:rPr>
          <w:rFonts w:ascii="Times New Roman" w:cs="Times New Roman" w:eastAsia="Times New Roman" w:hAnsi="Times New Roman"/>
          <w:sz w:val="13"/>
          <w:szCs w:val="13"/>
          <w:color w:val="auto"/>
        </w:rPr>
      </w:pPr>
    </w:p>
    <w:p>
      <w:pPr>
        <w:ind w:left="920" w:hanging="199"/>
        <w:spacing w:after="0"/>
        <w:tabs>
          <w:tab w:leader="none" w:pos="920" w:val="left"/>
        </w:tabs>
        <w:numPr>
          <w:ilvl w:val="0"/>
          <w:numId w:val="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This Agreement</w:t>
      </w:r>
      <w:r>
        <w:rPr>
          <w:rFonts w:ascii="Times New Roman" w:cs="Times New Roman" w:eastAsia="Times New Roman" w:hAnsi="Times New Roman"/>
          <w:sz w:val="13"/>
          <w:szCs w:val="13"/>
          <w:color w:val="auto"/>
        </w:rPr>
        <w:t>. This Agreement has been duly authorized, executed and delivered by the Company.</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6</w:t>
      </w:r>
    </w:p>
    <w:p>
      <w:pPr>
        <w:sectPr>
          <w:pgSz w:w="11900" w:h="16838" w:orient="portrait"/>
          <w:cols w:equalWidth="0" w:num="1">
            <w:col w:w="9019"/>
          </w:cols>
          <w:pgMar w:left="1440" w:top="238" w:right="1440" w:bottom="1440" w:gutter="0" w:footer="0" w:header="0"/>
        </w:sectPr>
      </w:pPr>
    </w:p>
    <w:bookmarkStart w:id="111" w:name="page112"/>
    <w:bookmarkEnd w:id="111"/>
    <w:p>
      <w:pPr>
        <w:ind w:left="400" w:right="579" w:firstLine="321"/>
        <w:spacing w:after="0" w:line="278" w:lineRule="auto"/>
        <w:tabs>
          <w:tab w:leader="none" w:pos="889" w:val="left"/>
        </w:tabs>
        <w:numPr>
          <w:ilvl w:val="1"/>
          <w:numId w:val="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6">
                      <a:extLst>
                        <a:ext uri="{28A0092B-C50C-407E-A947-70E740481C1C}"/>
                      </a:extLst>
                    </a:blip>
                    <a:srcRect/>
                    <a:stretch>
                      <a:fillRect/>
                    </a:stretch>
                  </pic:blipFill>
                  <pic:spPr bwMode="auto">
                    <a:xfrm>
                      <a:off x="0" y="0"/>
                      <a:ext cx="7205345" cy="31750"/>
                    </a:xfrm>
                    <a:prstGeom prst="rect">
                      <a:avLst/>
                    </a:prstGeom>
                    <a:noFill/>
                  </pic:spPr>
                </pic:pic>
              </a:graphicData>
            </a:graphic>
          </wp:anchor>
        </w:drawing>
        <w:t>Authorization of the Shares</w:t>
      </w:r>
      <w:r>
        <w:rPr>
          <w:rFonts w:ascii="Times New Roman" w:cs="Times New Roman" w:eastAsia="Times New Roman" w:hAnsi="Times New Roman"/>
          <w:sz w:val="13"/>
          <w:szCs w:val="13"/>
          <w:color w:val="auto"/>
        </w:rPr>
        <w:t>. The Shares have been duly authorized for issuance and sale pursuant to this Agreement and, when issued and delivered by the Company against payment therefor pursuant to this Agreement, will be validly issued, fully paid and nonassessable, and the issuance and sale of the Shares is not subject to any preemptive rights, rights of first refusal or other similar rights to subscribe for or purchase the Shares.</w:t>
      </w:r>
    </w:p>
    <w:p>
      <w:pPr>
        <w:spacing w:after="0" w:line="125" w:lineRule="exact"/>
        <w:rPr>
          <w:rFonts w:ascii="Times New Roman" w:cs="Times New Roman" w:eastAsia="Times New Roman" w:hAnsi="Times New Roman"/>
          <w:sz w:val="13"/>
          <w:szCs w:val="13"/>
          <w:color w:val="auto"/>
        </w:rPr>
      </w:pPr>
    </w:p>
    <w:p>
      <w:pPr>
        <w:ind w:left="400" w:right="459" w:firstLine="321"/>
        <w:spacing w:after="0" w:line="278" w:lineRule="auto"/>
        <w:tabs>
          <w:tab w:leader="none" w:pos="889" w:val="left"/>
        </w:tabs>
        <w:numPr>
          <w:ilvl w:val="1"/>
          <w:numId w:val="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No Applicable Registration or Other Similar Rights</w:t>
      </w:r>
      <w:r>
        <w:rPr>
          <w:rFonts w:ascii="Times New Roman" w:cs="Times New Roman" w:eastAsia="Times New Roman" w:hAnsi="Times New Roman"/>
          <w:sz w:val="13"/>
          <w:szCs w:val="13"/>
          <w:color w:val="auto"/>
        </w:rPr>
        <w:t>. There are no persons with registration or other similar rights to have any equity or debt securities registered for sale under the Registration Statement or included in the offering contemplated by this Agreement, except for such rights as have been duly waived.</w:t>
      </w:r>
    </w:p>
    <w:p>
      <w:pPr>
        <w:spacing w:after="0" w:line="125" w:lineRule="exact"/>
        <w:rPr>
          <w:rFonts w:ascii="Times New Roman" w:cs="Times New Roman" w:eastAsia="Times New Roman" w:hAnsi="Times New Roman"/>
          <w:sz w:val="13"/>
          <w:szCs w:val="13"/>
          <w:color w:val="auto"/>
        </w:rPr>
      </w:pPr>
    </w:p>
    <w:p>
      <w:pPr>
        <w:ind w:left="400" w:right="499" w:firstLine="321"/>
        <w:spacing w:after="0" w:line="260" w:lineRule="auto"/>
        <w:tabs>
          <w:tab w:leader="none" w:pos="919" w:val="left"/>
        </w:tabs>
        <w:numPr>
          <w:ilvl w:val="1"/>
          <w:numId w:val="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No Material Adverse Change</w:t>
      </w:r>
      <w:r>
        <w:rPr>
          <w:rFonts w:ascii="Times New Roman" w:cs="Times New Roman" w:eastAsia="Times New Roman" w:hAnsi="Times New Roman"/>
          <w:sz w:val="13"/>
          <w:szCs w:val="13"/>
          <w:color w:val="auto"/>
        </w:rPr>
        <w:t>. Except as otherwise disclosed in the Registration Statement and the Prospectus, subsequent to the respective dates as of which information is given in the Registration Statement and the Prospectus: (i) there has been no material adverse change, or any development that reasonably could be expected to result in a material adverse change, in (A) the condition, financial or otherwise, or in the earnings, business, properties, operations, operating results, assets, liabilities or prospects, whether or not arising from transactions in the ordinary course of business, of the Company and its subsidiaries, considered as one entity or (B) the ability of the Company to consummate the transactions contemplated by this Agreement or perform its obligations hereunder (any such change being referred to herein as a “</w:t>
      </w:r>
      <w:r>
        <w:rPr>
          <w:rFonts w:ascii="Times New Roman" w:cs="Times New Roman" w:eastAsia="Times New Roman" w:hAnsi="Times New Roman"/>
          <w:sz w:val="13"/>
          <w:szCs w:val="13"/>
          <w:b w:val="1"/>
          <w:bCs w:val="1"/>
          <w:color w:val="auto"/>
        </w:rPr>
        <w:t>Material Adverse Change</w:t>
      </w:r>
      <w:r>
        <w:rPr>
          <w:rFonts w:ascii="Times New Roman" w:cs="Times New Roman" w:eastAsia="Times New Roman" w:hAnsi="Times New Roman"/>
          <w:sz w:val="13"/>
          <w:szCs w:val="13"/>
          <w:color w:val="auto"/>
        </w:rPr>
        <w:t>”); (ii) the Company and its subsidiaries, considered as one entity, have not incurred any material liability or obligation, indirect, direct or contingent, including without limitation any losses or interference with their business from fire, explosion, flood, earthquakes, accident or other calamity, whether or not covered by insurance, or from any strike, labor dispute or court or governmental action, order or decree, that are material, individually or in the aggregate, to the Company and its subsidiaries, considered as one entity, and have not entered into any material transactions not in the ordinary course of business; and</w:t>
      </w:r>
    </w:p>
    <w:p>
      <w:pPr>
        <w:spacing w:after="0" w:line="5" w:lineRule="exact"/>
        <w:rPr>
          <w:rFonts w:ascii="Times New Roman" w:cs="Times New Roman" w:eastAsia="Times New Roman" w:hAnsi="Times New Roman"/>
          <w:sz w:val="13"/>
          <w:szCs w:val="13"/>
          <w:color w:val="auto"/>
        </w:rPr>
      </w:pPr>
    </w:p>
    <w:p>
      <w:pPr>
        <w:ind w:left="400" w:right="419" w:hanging="8"/>
        <w:spacing w:after="0" w:line="265" w:lineRule="auto"/>
        <w:tabs>
          <w:tab w:leader="none" w:pos="635" w:val="left"/>
        </w:tabs>
        <w:numPr>
          <w:ilvl w:val="0"/>
          <w:numId w:val="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there has not been any material decrease in the capital stock or any material increase in any short-term or long-term indebtedness of the Company or its subsidiaries and there has been no dividend or distribution of any kind declared, paid or made by the Company or, except for dividends paid to the Company or other subsidiaries, by any of the Company’s subsidiaries on any class of capital stock, or any repurchase or redemption by the Company or any of its subsidiaries of any class of capital stock.</w:t>
      </w:r>
    </w:p>
    <w:p>
      <w:pPr>
        <w:spacing w:after="0" w:line="133" w:lineRule="exact"/>
        <w:rPr>
          <w:rFonts w:ascii="Times New Roman" w:cs="Times New Roman" w:eastAsia="Times New Roman" w:hAnsi="Times New Roman"/>
          <w:sz w:val="13"/>
          <w:szCs w:val="13"/>
          <w:color w:val="auto"/>
        </w:rPr>
      </w:pPr>
    </w:p>
    <w:p>
      <w:pPr>
        <w:ind w:left="400" w:right="459" w:firstLine="321"/>
        <w:spacing w:after="0" w:line="266" w:lineRule="auto"/>
        <w:tabs>
          <w:tab w:leader="none" w:pos="889" w:val="left"/>
        </w:tabs>
        <w:numPr>
          <w:ilvl w:val="1"/>
          <w:numId w:val="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Independent Accountants</w:t>
      </w:r>
      <w:r>
        <w:rPr>
          <w:rFonts w:ascii="Times New Roman" w:cs="Times New Roman" w:eastAsia="Times New Roman" w:hAnsi="Times New Roman"/>
          <w:sz w:val="13"/>
          <w:szCs w:val="13"/>
          <w:color w:val="auto"/>
        </w:rPr>
        <w:t>. BDO USA, P.C., which has expressed its opinion with respect to the financial statements (which term as used in this Agreement includes the related notes thereto) and supporting schedules filed with the Commission as a part of the Registration Statement and the Prospectus, is (i) an independent registered public accounting firm as required by the Securities Act, the Exchange Act, and the rules of the Public Company Accounting Oversight Board (“</w:t>
      </w:r>
      <w:r>
        <w:rPr>
          <w:rFonts w:ascii="Times New Roman" w:cs="Times New Roman" w:eastAsia="Times New Roman" w:hAnsi="Times New Roman"/>
          <w:sz w:val="13"/>
          <w:szCs w:val="13"/>
          <w:b w:val="1"/>
          <w:bCs w:val="1"/>
          <w:color w:val="auto"/>
        </w:rPr>
        <w:t>PCAOB</w:t>
      </w:r>
      <w:r>
        <w:rPr>
          <w:rFonts w:ascii="Times New Roman" w:cs="Times New Roman" w:eastAsia="Times New Roman" w:hAnsi="Times New Roman"/>
          <w:sz w:val="13"/>
          <w:szCs w:val="13"/>
          <w:color w:val="auto"/>
        </w:rPr>
        <w:t>”), (ii) in compliance with the applicable requirements relating to the qualification of accountants under Rule 2-01 of Regulation S-X under the Securities Act and (iii) a registered public accounting firm as defined by the PCAOB whose registration has not been suspended or revoked and who has not requested such registration to be withdrawn.</w:t>
      </w:r>
    </w:p>
    <w:p>
      <w:pPr>
        <w:spacing w:after="0" w:line="134" w:lineRule="exact"/>
        <w:rPr>
          <w:rFonts w:ascii="Times New Roman" w:cs="Times New Roman" w:eastAsia="Times New Roman" w:hAnsi="Times New Roman"/>
          <w:sz w:val="13"/>
          <w:szCs w:val="13"/>
          <w:color w:val="auto"/>
        </w:rPr>
      </w:pPr>
    </w:p>
    <w:p>
      <w:pPr>
        <w:ind w:left="400" w:right="419" w:firstLine="321"/>
        <w:spacing w:after="0" w:line="262" w:lineRule="auto"/>
        <w:tabs>
          <w:tab w:leader="none" w:pos="956" w:val="left"/>
        </w:tabs>
        <w:numPr>
          <w:ilvl w:val="1"/>
          <w:numId w:val="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Financial Statements</w:t>
      </w:r>
      <w:r>
        <w:rPr>
          <w:rFonts w:ascii="Times New Roman" w:cs="Times New Roman" w:eastAsia="Times New Roman" w:hAnsi="Times New Roman"/>
          <w:sz w:val="13"/>
          <w:szCs w:val="13"/>
          <w:color w:val="auto"/>
        </w:rPr>
        <w:t>. The financial statements included or incorporated by reference in the Registration Statement and the Prospectus present fairly in all material respects the consolidated financial position of the Company and its subsidiaries as of the dates indicated and the results of their operations, changes in stockholders’ equity and cash flows for the periods specified. Such financial statements have been prepared in conformity with generally accepted accounting principles in the United States applied on a consistent basis throughout the periods involved, except as may be expressly stated in the related notes thereto. The interactive data in eXtensible Business Reporting Language included or incorporated by reference in the Registration Statement fairly presents the information called for in all material respects and has been prepared in all material respects in accordance with the Commission’s rules and guidelines applicable thereto. No other financial statements or supporting schedules are required to be included in the Registration Statement or the Prospectus. All disclosures contained in the Registration Statement and the Prospectus that constitute non-GAAP financial measures (as defined by the rules and regulations under the Securities Act and the Exchange Act) comply with Regulation G under the Exchange Act and Item 10 of Regulation S-K under the Securities Act, as applicable. To the Company’s knowledge, no person who has been suspended or barred from being associated with a registered public accounting firm, or who has failed to comply with any sanction pursuant to Rule 5300 promulgated by the PCAOB, has participated in or otherwise aided the preparation of, or audited, the financial statements, supporting schedules or other financial data filed with the Commission as a part of the Registration Statement and the Prospectus.</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7</w:t>
      </w:r>
    </w:p>
    <w:p>
      <w:pPr>
        <w:sectPr>
          <w:pgSz w:w="11900" w:h="16838" w:orient="portrait"/>
          <w:cols w:equalWidth="0" w:num="1">
            <w:col w:w="9019"/>
          </w:cols>
          <w:pgMar w:left="1440" w:top="238" w:right="1440" w:bottom="1440" w:gutter="0" w:footer="0" w:header="0"/>
        </w:sectPr>
      </w:pPr>
    </w:p>
    <w:bookmarkStart w:id="112" w:name="page113"/>
    <w:bookmarkEnd w:id="112"/>
    <w:p>
      <w:pPr>
        <w:ind w:left="400" w:right="419" w:firstLine="321"/>
        <w:spacing w:after="0" w:line="264" w:lineRule="auto"/>
        <w:tabs>
          <w:tab w:leader="none" w:pos="919" w:val="left"/>
        </w:tabs>
        <w:numPr>
          <w:ilvl w:val="0"/>
          <w:numId w:val="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7">
                      <a:extLst>
                        <a:ext uri="{28A0092B-C50C-407E-A947-70E740481C1C}"/>
                      </a:extLst>
                    </a:blip>
                    <a:srcRect/>
                    <a:stretch>
                      <a:fillRect/>
                    </a:stretch>
                  </pic:blipFill>
                  <pic:spPr bwMode="auto">
                    <a:xfrm>
                      <a:off x="0" y="0"/>
                      <a:ext cx="7205345" cy="31750"/>
                    </a:xfrm>
                    <a:prstGeom prst="rect">
                      <a:avLst/>
                    </a:prstGeom>
                    <a:noFill/>
                  </pic:spPr>
                </pic:pic>
              </a:graphicData>
            </a:graphic>
          </wp:anchor>
        </w:drawing>
        <w:t>Company’s Accounting System</w:t>
      </w:r>
      <w:r>
        <w:rPr>
          <w:rFonts w:ascii="Times New Roman" w:cs="Times New Roman" w:eastAsia="Times New Roman" w:hAnsi="Times New Roman"/>
          <w:sz w:val="13"/>
          <w:szCs w:val="13"/>
          <w:color w:val="auto"/>
        </w:rPr>
        <w:t>. The Company and each of its subsidiaries make and keep accurate books and records and maintain a system of internal accounting controls sufficient to provide reasonable assurance that: (i) transactions are executed in accordance with management’s general or specific authorization; (ii) transactions are recorded as necessary to permit preparation of financial statements in conformity with generally accepted accounting principles in the United States and to maintain accountability for assets; (iii) access to assets is permitted only in accordance with management’s general or specific authorization; and (iv) the recorded accountability for assets is compared with existing assets at reasonable intervals and appropriate action is taken with respect to any differences. The interactive data in eXtensible Business Reporting Language included or incorporated by reference in the Registration Statement and the Prospectus fairly presents the information called for in all material respects and is prepared in accordance with the Commission’s rules and guidelines applicable thereto.</w:t>
      </w:r>
    </w:p>
    <w:p>
      <w:pPr>
        <w:spacing w:after="0" w:line="133" w:lineRule="exact"/>
        <w:rPr>
          <w:rFonts w:ascii="Times New Roman" w:cs="Times New Roman" w:eastAsia="Times New Roman" w:hAnsi="Times New Roman"/>
          <w:sz w:val="13"/>
          <w:szCs w:val="13"/>
          <w:color w:val="auto"/>
        </w:rPr>
      </w:pPr>
    </w:p>
    <w:p>
      <w:pPr>
        <w:ind w:left="400" w:right="419" w:firstLine="321"/>
        <w:spacing w:after="0" w:line="267" w:lineRule="auto"/>
        <w:tabs>
          <w:tab w:leader="none" w:pos="919" w:val="left"/>
        </w:tabs>
        <w:numPr>
          <w:ilvl w:val="0"/>
          <w:numId w:val="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Incorporation and Good Standing of the Company</w:t>
      </w:r>
      <w:r>
        <w:rPr>
          <w:rFonts w:ascii="Times New Roman" w:cs="Times New Roman" w:eastAsia="Times New Roman" w:hAnsi="Times New Roman"/>
          <w:sz w:val="13"/>
          <w:szCs w:val="13"/>
          <w:i w:val="1"/>
          <w:iCs w:val="1"/>
          <w:color w:val="auto"/>
        </w:rPr>
        <w:t>.</w:t>
      </w:r>
      <w:r>
        <w:rPr>
          <w:rFonts w:ascii="Times New Roman" w:cs="Times New Roman" w:eastAsia="Times New Roman" w:hAnsi="Times New Roman"/>
          <w:sz w:val="13"/>
          <w:szCs w:val="13"/>
          <w:color w:val="auto"/>
        </w:rPr>
        <w:t xml:space="preserve"> The Company has been duly incorporated and is validly existing as a corporation in good standing under the laws of the State of Delaware and has the corporate power and authority to own, lease and operate its properties and to conduct its business as described in the Registration Statement and the Prospectus and to enter into and perform its obligations under this Agreement. The Company is duly qualified as a foreign corporation to transact business and is in good standing in the State of California and each other jurisdiction in which such qualification is required, whether by reason of the ownership or leasing of property or the conduct of business, except where the failure to be so qualified or to be in good standing would not reasonably be expected, individually or in the aggregate, to result in a Material Adverse Change.</w:t>
      </w:r>
    </w:p>
    <w:p>
      <w:pPr>
        <w:spacing w:after="0" w:line="132" w:lineRule="exact"/>
        <w:rPr>
          <w:rFonts w:ascii="Times New Roman" w:cs="Times New Roman" w:eastAsia="Times New Roman" w:hAnsi="Times New Roman"/>
          <w:sz w:val="13"/>
          <w:szCs w:val="13"/>
          <w:color w:val="auto"/>
        </w:rPr>
      </w:pPr>
    </w:p>
    <w:p>
      <w:pPr>
        <w:ind w:left="400" w:right="399" w:firstLine="321"/>
        <w:spacing w:after="0" w:line="261" w:lineRule="auto"/>
        <w:tabs>
          <w:tab w:leader="none" w:pos="919" w:val="left"/>
        </w:tabs>
        <w:numPr>
          <w:ilvl w:val="0"/>
          <w:numId w:val="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Subsidiaries</w:t>
      </w:r>
      <w:r>
        <w:rPr>
          <w:rFonts w:ascii="Times New Roman" w:cs="Times New Roman" w:eastAsia="Times New Roman" w:hAnsi="Times New Roman"/>
          <w:sz w:val="13"/>
          <w:szCs w:val="13"/>
          <w:color w:val="auto"/>
        </w:rPr>
        <w:t>. Each of the Company’s “subsidiaries” (for purposes of this Agreement, as defined in Rule 405 under the Securities Act) has been duly incorporated or organized, as the case may be, and is validly existing as a corporation, partnership or limited liability company, as applicable, in good standing under the laws of the jurisdiction of its incorporation or organization and has the power and authority (corporate or other) to own, lease and operate its properties and to conduct its business as described in the Registration Statement and the Prospectus, except where any such failure would not reasonably be expected, individually or in the aggregate, to result in a Material Adverse Change. Each of the Company’s subsidiaries is duly qualified as a foreign corporation, partnership or limited liability company, as applicable, to transact business and is in good standing in each jurisdiction in which such qualification is required, whether by reason of the ownership or leasing of property or the conduct of business, except where the failure to be so qualified or to be in good standing would not, individually or in the aggregate, reasonably be expected to result in a Material Adverse Change. All of the issued and outstanding capital stock or other equity or ownership interests of each of the Company’s subsidiaries have been duly authorized and validly issued, are fully paid (only in the case of a corporation) and nonassessable and are owned by the Company, directly or through subsidiaries, free and clear of any security interest, mortgage, pledge, lien, encumbrance or adverse claim. None of the outstanding capital stock or equity interest in any subsidiary was issued in violation of preemptive or similar rights of any security holder of such subsidiary. The constitutive or organizational documents of each of the subsidiaries comply in all material respects with the requirements of applicable laws of its jurisdiction of incorporation or organization and are in full force and effect. The Company does not own or control, directly or indirectly, any corporation, association or other entity other than the subsidiaries listed in Exhibit 21 to the Company’s most recent annual report on Form 10-K or those entities becoming subsidiaries after the filing of such Form 10-K.</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8</w:t>
      </w:r>
    </w:p>
    <w:p>
      <w:pPr>
        <w:sectPr>
          <w:pgSz w:w="11900" w:h="16838" w:orient="portrait"/>
          <w:cols w:equalWidth="0" w:num="1">
            <w:col w:w="9019"/>
          </w:cols>
          <w:pgMar w:left="1440" w:top="238" w:right="1440" w:bottom="1440" w:gutter="0" w:footer="0" w:header="0"/>
        </w:sectPr>
      </w:pPr>
    </w:p>
    <w:bookmarkStart w:id="113" w:name="page114"/>
    <w:bookmarkEnd w:id="113"/>
    <w:p>
      <w:pPr>
        <w:ind w:left="400" w:right="399" w:firstLine="321"/>
        <w:spacing w:after="0" w:line="262" w:lineRule="auto"/>
        <w:tabs>
          <w:tab w:leader="none" w:pos="919" w:val="left"/>
        </w:tabs>
        <w:numPr>
          <w:ilvl w:val="0"/>
          <w:numId w:val="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8">
                      <a:extLst>
                        <a:ext uri="{28A0092B-C50C-407E-A947-70E740481C1C}"/>
                      </a:extLst>
                    </a:blip>
                    <a:srcRect/>
                    <a:stretch>
                      <a:fillRect/>
                    </a:stretch>
                  </pic:blipFill>
                  <pic:spPr bwMode="auto">
                    <a:xfrm>
                      <a:off x="0" y="0"/>
                      <a:ext cx="7205345" cy="31750"/>
                    </a:xfrm>
                    <a:prstGeom prst="rect">
                      <a:avLst/>
                    </a:prstGeom>
                    <a:noFill/>
                  </pic:spPr>
                </pic:pic>
              </a:graphicData>
            </a:graphic>
          </wp:anchor>
        </w:drawing>
        <w:t>Capitalization and Other Capital Stock Matters</w:t>
      </w:r>
      <w:r>
        <w:rPr>
          <w:rFonts w:ascii="Times New Roman" w:cs="Times New Roman" w:eastAsia="Times New Roman" w:hAnsi="Times New Roman"/>
          <w:sz w:val="13"/>
          <w:szCs w:val="13"/>
          <w:color w:val="auto"/>
        </w:rPr>
        <w:t>. The authorized, issued and outstanding capital stock of the Company is as set forth in the Registration Statement and the Prospectus (other than for subsequent issuances, if any, pursuant to employee benefit plans described in the Prospectus or upon the exercise of outstanding options or warrants, in each case described in the Registration Statement and the Prospectus). The Common Shares (including the Shares) conform in all material respects to the description thereof contained in the Prospectus. All of the issued and outstanding Common Shares have been duly authorized and validly issued, are fully paid and nonassessable and have been issued in compliance with all federal and state securities laws. None of the outstanding Common Shares was issued in violation of any preemptive rights, rights of first refusal or other similar rights to subscribe for or purchase securities of the Company. There are no authorized or outstanding options, warrants, preemptive rights, rights of first refusal or other rights to purchase, or equity or debt securities convertible into or exchangeable or exercisable for, any capital stock of the Company or any of its subsidiaries other than those described in the Registration Statement and the Prospectus. The descriptions of the Company’s stock option, stock bonus and other stock plans or arrangements, and the options or other rights granted thereunder, set forth in the Registration Statement and the Prospectus accurately and fairly presents in all material respects the information required to be shown with respect to such plans, arrangements, options and rights.</w:t>
      </w:r>
    </w:p>
    <w:p>
      <w:pPr>
        <w:spacing w:after="0" w:line="139" w:lineRule="exact"/>
        <w:rPr>
          <w:rFonts w:ascii="Times New Roman" w:cs="Times New Roman" w:eastAsia="Times New Roman" w:hAnsi="Times New Roman"/>
          <w:sz w:val="13"/>
          <w:szCs w:val="13"/>
          <w:color w:val="auto"/>
        </w:rPr>
      </w:pPr>
    </w:p>
    <w:p>
      <w:pPr>
        <w:ind w:left="400" w:right="419" w:firstLine="321"/>
        <w:spacing w:after="0" w:line="268" w:lineRule="auto"/>
        <w:tabs>
          <w:tab w:leader="none" w:pos="896" w:val="left"/>
        </w:tabs>
        <w:numPr>
          <w:ilvl w:val="0"/>
          <w:numId w:val="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Stock Exchange Listing</w:t>
      </w:r>
      <w:r>
        <w:rPr>
          <w:rFonts w:ascii="Times New Roman" w:cs="Times New Roman" w:eastAsia="Times New Roman" w:hAnsi="Times New Roman"/>
          <w:sz w:val="13"/>
          <w:szCs w:val="13"/>
          <w:color w:val="auto"/>
        </w:rPr>
        <w:t>. The Common Shares are registered pursuant to Section 12(b) or 12(g) of the Exchange Act and are listed on the Principal Market, and the Company has taken no action designed to, or likely to have the effect of, terminating the registration of the Common Shares under the Exchange Act or delisting the Common Shares from the Principal Market, nor has the Company received any notification that the Commission or the Principal Market is contemplating terminating such registration or listing. To the Company’s knowledge, it is in compliance with all applicable listing requirements of the Principal Market.</w:t>
      </w:r>
    </w:p>
    <w:p>
      <w:pPr>
        <w:spacing w:after="0" w:line="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9</w:t>
      </w:r>
    </w:p>
    <w:p>
      <w:pPr>
        <w:sectPr>
          <w:pgSz w:w="11900" w:h="16838" w:orient="portrait"/>
          <w:cols w:equalWidth="0" w:num="1">
            <w:col w:w="9019"/>
          </w:cols>
          <w:pgMar w:left="1440" w:top="238" w:right="1440" w:bottom="1440" w:gutter="0" w:footer="0" w:header="0"/>
        </w:sectPr>
      </w:pPr>
    </w:p>
    <w:bookmarkStart w:id="114" w:name="page115"/>
    <w:bookmarkEnd w:id="114"/>
    <w:p>
      <w:pPr>
        <w:ind w:left="400" w:right="419" w:firstLine="321"/>
        <w:spacing w:after="0" w:line="260" w:lineRule="auto"/>
        <w:tabs>
          <w:tab w:leader="none" w:pos="904" w:val="left"/>
        </w:tabs>
        <w:numPr>
          <w:ilvl w:val="0"/>
          <w:numId w:val="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9">
                      <a:extLst>
                        <a:ext uri="{28A0092B-C50C-407E-A947-70E740481C1C}"/>
                      </a:extLst>
                    </a:blip>
                    <a:srcRect/>
                    <a:stretch>
                      <a:fillRect/>
                    </a:stretch>
                  </pic:blipFill>
                  <pic:spPr bwMode="auto">
                    <a:xfrm>
                      <a:off x="0" y="0"/>
                      <a:ext cx="7205345" cy="31750"/>
                    </a:xfrm>
                    <a:prstGeom prst="rect">
                      <a:avLst/>
                    </a:prstGeom>
                    <a:noFill/>
                  </pic:spPr>
                </pic:pic>
              </a:graphicData>
            </a:graphic>
          </wp:anchor>
        </w:drawing>
        <w:t>Non-Contravention of Existing Instruments; No Further Authorizations or Approvals Required</w:t>
      </w:r>
      <w:r>
        <w:rPr>
          <w:rFonts w:ascii="Times New Roman" w:cs="Times New Roman" w:eastAsia="Times New Roman" w:hAnsi="Times New Roman"/>
          <w:sz w:val="13"/>
          <w:szCs w:val="13"/>
          <w:color w:val="auto"/>
        </w:rPr>
        <w:t>. Neither the Company nor any of its subsidiaries is (A) in violation of its charter or by-laws, partnership agreement or operating agreement or similar organizational documents, as applicable, or (B) in default (or, with the giving of notice or lapse of time, would be in default) (“</w:t>
      </w:r>
      <w:r>
        <w:rPr>
          <w:rFonts w:ascii="Times New Roman" w:cs="Times New Roman" w:eastAsia="Times New Roman" w:hAnsi="Times New Roman"/>
          <w:sz w:val="13"/>
          <w:szCs w:val="13"/>
          <w:b w:val="1"/>
          <w:bCs w:val="1"/>
          <w:color w:val="auto"/>
        </w:rPr>
        <w:t>Default</w:t>
      </w:r>
      <w:r>
        <w:rPr>
          <w:rFonts w:ascii="Times New Roman" w:cs="Times New Roman" w:eastAsia="Times New Roman" w:hAnsi="Times New Roman"/>
          <w:sz w:val="13"/>
          <w:szCs w:val="13"/>
          <w:color w:val="auto"/>
        </w:rPr>
        <w:t>”) under any indenture, loan, credit agreement, note, lease, license agreement, contract, franchise or other instrument (including, without limitation, any pledge agreement, security agreement, mortgage or other instrument or agreement evidencing, guaranteeing, securing or relating to indebtedness) to which the Company or any of its subsidiaries is a party or by which it or any of them may be bound, or to which any of their respective properties or assets are subject (each, an “</w:t>
      </w:r>
      <w:r>
        <w:rPr>
          <w:rFonts w:ascii="Times New Roman" w:cs="Times New Roman" w:eastAsia="Times New Roman" w:hAnsi="Times New Roman"/>
          <w:sz w:val="13"/>
          <w:szCs w:val="13"/>
          <w:b w:val="1"/>
          <w:bCs w:val="1"/>
          <w:color w:val="auto"/>
        </w:rPr>
        <w:t>Existing Instrument</w:t>
      </w:r>
      <w:r>
        <w:rPr>
          <w:rFonts w:ascii="Times New Roman" w:cs="Times New Roman" w:eastAsia="Times New Roman" w:hAnsi="Times New Roman"/>
          <w:sz w:val="13"/>
          <w:szCs w:val="13"/>
          <w:color w:val="auto"/>
        </w:rPr>
        <w:t>”), except for such Defaults as would not be reasonably expected, individually or in the aggregate, to result in a Material Adverse Change. The Company’s execution, delivery and performance of this Agreement, consummation of the transactions contemplated hereby and by the Registration Statement and the Prospectus and the issuance and sale of the Shares (including the use of proceeds from the sale of the Shares as described in the Registration Statement and the Prospectus under the caption “Use of Proceeds”) (i) have been duly authorized by all necessary corporate action and will not result in any violation of the provisions of the charter or by-laws, partnership agreement or operating agreement or similar organizational documents, as applicable, of the Company or any subsidiary (ii) will not conflict with or constitute a breach of, or Default or a Debt Repayment Triggering Event (as defined below) under, or result in the creation or imposition of any lien, charge or encumbrance upon any property or assets of the Company or any of its subsidiaries pursuant to, or require the consent of any other party to, any Existing Instrument and (iii) will not result in any violation of any law, administrative regulation or administrative or court decree applicable to the Company or any of its subsidiaries, except, with respect to clauses (ii) and (iii) as would not reasonably be expected, individually or in the aggregate, to result in a Material Adverse Change. No consent, approval, authorization or other order of, or registration or filing with, any court or other governmental or regulatory authority or agency, is required for the Company’s execution, delivery and performance of this Agreement and consummation of the transactions contemplated hereby and by the Registration Statement and the Prospectus, except such as have been obtained or made by the Company and are in full force and effect under the Securities Act and such as may be required under applicable state securities or blue sky laws or FINRA (as defined below). As used herein, a “</w:t>
      </w:r>
      <w:r>
        <w:rPr>
          <w:rFonts w:ascii="Times New Roman" w:cs="Times New Roman" w:eastAsia="Times New Roman" w:hAnsi="Times New Roman"/>
          <w:sz w:val="13"/>
          <w:szCs w:val="13"/>
          <w:b w:val="1"/>
          <w:bCs w:val="1"/>
          <w:color w:val="auto"/>
        </w:rPr>
        <w:t>Debt</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Repayment Triggering Event</w:t>
      </w:r>
      <w:r>
        <w:rPr>
          <w:rFonts w:ascii="Times New Roman" w:cs="Times New Roman" w:eastAsia="Times New Roman" w:hAnsi="Times New Roman"/>
          <w:sz w:val="13"/>
          <w:szCs w:val="13"/>
          <w:color w:val="auto"/>
        </w:rPr>
        <w:t>” means any event or condition which gives, or with the giving of notice or lapse of time would give, the holder of any</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note, debenture or other evidence of indebtedness (or any person acting on such holder’s behalf) the right to require the repurchase, redemption or repayment of all or a portion of such indebtedness by the Company or any of its subsidiaries.</w:t>
      </w:r>
    </w:p>
    <w:p>
      <w:pPr>
        <w:spacing w:after="0" w:line="306" w:lineRule="exact"/>
        <w:rPr>
          <w:rFonts w:ascii="Times New Roman" w:cs="Times New Roman" w:eastAsia="Times New Roman" w:hAnsi="Times New Roman"/>
          <w:sz w:val="13"/>
          <w:szCs w:val="13"/>
          <w:color w:val="auto"/>
        </w:rPr>
      </w:pPr>
    </w:p>
    <w:p>
      <w:pPr>
        <w:ind w:left="400" w:right="519" w:firstLine="321"/>
        <w:spacing w:after="0" w:line="268" w:lineRule="auto"/>
        <w:tabs>
          <w:tab w:leader="none" w:pos="889" w:val="left"/>
        </w:tabs>
        <w:numPr>
          <w:ilvl w:val="0"/>
          <w:numId w:val="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No Material Actions or Proceedings</w:t>
      </w:r>
      <w:r>
        <w:rPr>
          <w:rFonts w:ascii="Times New Roman" w:cs="Times New Roman" w:eastAsia="Times New Roman" w:hAnsi="Times New Roman"/>
          <w:sz w:val="13"/>
          <w:szCs w:val="13"/>
          <w:color w:val="auto"/>
        </w:rPr>
        <w:t>. Except as otherwise disclosed in the Prospectus, there is no action, suit, proceeding, inquiry or investigation brought by or before any legal or governmental entity now pending or, to the knowledge of the Company, threatened, against or affecting the Company or any of its subsidiaries, which would reasonably be expected, individually or in the aggregate, to result in a Material Adverse Change. No material labor dispute with the employees of the Company or any of its subsidiaries, or with the employees of any principal supplier, manufacturer, customer or contractor of the Company, exists or, to the knowledge of the Company, is threatened or imminent.</w:t>
      </w:r>
    </w:p>
    <w:p>
      <w:pPr>
        <w:spacing w:after="0" w:line="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10</w:t>
      </w:r>
    </w:p>
    <w:p>
      <w:pPr>
        <w:sectPr>
          <w:pgSz w:w="11900" w:h="16838" w:orient="portrait"/>
          <w:cols w:equalWidth="0" w:num="1">
            <w:col w:w="9019"/>
          </w:cols>
          <w:pgMar w:left="1440" w:top="238" w:right="1440" w:bottom="1440" w:gutter="0" w:footer="0" w:header="0"/>
        </w:sectPr>
      </w:pPr>
    </w:p>
    <w:bookmarkStart w:id="115" w:name="page116"/>
    <w:bookmarkEnd w:id="115"/>
    <w:p>
      <w:pPr>
        <w:ind w:left="400" w:right="439" w:firstLine="321"/>
        <w:spacing w:after="0" w:line="262" w:lineRule="auto"/>
        <w:tabs>
          <w:tab w:leader="none" w:pos="919" w:val="left"/>
        </w:tabs>
        <w:numPr>
          <w:ilvl w:val="0"/>
          <w:numId w:val="5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0">
                      <a:extLst>
                        <a:ext uri="{28A0092B-C50C-407E-A947-70E740481C1C}"/>
                      </a:extLst>
                    </a:blip>
                    <a:srcRect/>
                    <a:stretch>
                      <a:fillRect/>
                    </a:stretch>
                  </pic:blipFill>
                  <pic:spPr bwMode="auto">
                    <a:xfrm>
                      <a:off x="0" y="0"/>
                      <a:ext cx="7205345" cy="31750"/>
                    </a:xfrm>
                    <a:prstGeom prst="rect">
                      <a:avLst/>
                    </a:prstGeom>
                    <a:noFill/>
                  </pic:spPr>
                </pic:pic>
              </a:graphicData>
            </a:graphic>
          </wp:anchor>
        </w:drawing>
        <w:t>Intellectual Property Rights</w:t>
      </w:r>
      <w:r>
        <w:rPr>
          <w:rFonts w:ascii="Times New Roman" w:cs="Times New Roman" w:eastAsia="Times New Roman" w:hAnsi="Times New Roman"/>
          <w:sz w:val="13"/>
          <w:szCs w:val="13"/>
          <w:color w:val="auto"/>
        </w:rPr>
        <w:t>. Except where a failure thereof would not result in a Material Adverse Change, the Company and its subsidiaries own all rights in, or possess, or can acquire on reasonable terms, licenses to all copyrights, software, trade secrets, mask works, know-how, Internet domain names; trademarks, service marks, trade names, and other indicia of origin; and inventions (whether or not patentable), patents and patent rights (collectively “</w:t>
      </w:r>
      <w:r>
        <w:rPr>
          <w:rFonts w:ascii="Times New Roman" w:cs="Times New Roman" w:eastAsia="Times New Roman" w:hAnsi="Times New Roman"/>
          <w:sz w:val="13"/>
          <w:szCs w:val="13"/>
          <w:b w:val="1"/>
          <w:bCs w:val="1"/>
          <w:color w:val="auto"/>
        </w:rPr>
        <w:t>Intellectual Property</w:t>
      </w:r>
      <w:r>
        <w:rPr>
          <w:rFonts w:ascii="Times New Roman" w:cs="Times New Roman" w:eastAsia="Times New Roman" w:hAnsi="Times New Roman"/>
          <w:sz w:val="13"/>
          <w:szCs w:val="13"/>
          <w:color w:val="auto"/>
        </w:rPr>
        <w:t>”) material to carrying on the businesses of the Company and its subsidiaries, taken as a whole, as described in the Prospectus. Neither the Company nor any subsidiary has received any written correspondence relating to, or notice of, any misappropriation, infringement of or other violation of or conflict with the rights of others in any Intellectual Property, and to the knowledge of the Company there is no and has been no such misappropriation, infringement, violation or conflict and which misappropriation, infringement, violation or conflict (if the subject of any unfavorable decision, ruling or finding) or invalidity or inadequacy, individually or in the aggregate, would result in or may reasonably be expected to result in a Material Adverse Change. Neither the Company nor any subsidiary has received any written correspondence relating to, or notice of any allegation that any Intellectual Property owned by or held for use by the Company is invalid or inadequate to protect the interest of the Company and the subsidiaries, or any challenge to the Company or any subsidiary’s ownership of any Intellectual Property, and to the knowledge of the Company there is no valid basis for any such allegation or challenge and which invalidity or inadequacy would result in or may reasonably be expected to result in a Material Adverse Change.</w:t>
      </w:r>
    </w:p>
    <w:p>
      <w:pPr>
        <w:spacing w:after="0" w:line="299" w:lineRule="exact"/>
        <w:rPr>
          <w:rFonts w:ascii="Times New Roman" w:cs="Times New Roman" w:eastAsia="Times New Roman" w:hAnsi="Times New Roman"/>
          <w:sz w:val="13"/>
          <w:szCs w:val="13"/>
          <w:color w:val="auto"/>
        </w:rPr>
      </w:pPr>
    </w:p>
    <w:p>
      <w:pPr>
        <w:ind w:left="400" w:right="519" w:firstLine="321"/>
        <w:spacing w:after="0" w:line="267" w:lineRule="auto"/>
        <w:tabs>
          <w:tab w:leader="none" w:pos="919" w:val="left"/>
        </w:tabs>
        <w:numPr>
          <w:ilvl w:val="0"/>
          <w:numId w:val="5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All Necessary Permits, etc</w:t>
      </w:r>
      <w:r>
        <w:rPr>
          <w:rFonts w:ascii="Times New Roman" w:cs="Times New Roman" w:eastAsia="Times New Roman" w:hAnsi="Times New Roman"/>
          <w:sz w:val="13"/>
          <w:szCs w:val="13"/>
          <w:color w:val="auto"/>
        </w:rPr>
        <w:t>. Except as otherwise disclosed in the Prospectus, the Company and each subsidiary possess such valid and current certificates, authorizations or permits required by state, federal or foreign regulatory agencies or bodies to conduct their respective businesses as currently conducted and as described in the Registration Statement or the Prospectus, except where any such failure would not reasonably be expected, individually or in the aggregate, to result in a Material Adverse Change (“</w:t>
      </w:r>
      <w:r>
        <w:rPr>
          <w:rFonts w:ascii="Times New Roman" w:cs="Times New Roman" w:eastAsia="Times New Roman" w:hAnsi="Times New Roman"/>
          <w:sz w:val="13"/>
          <w:szCs w:val="13"/>
          <w:b w:val="1"/>
          <w:bCs w:val="1"/>
          <w:color w:val="auto"/>
        </w:rPr>
        <w:t>Permits</w:t>
      </w:r>
      <w:r>
        <w:rPr>
          <w:rFonts w:ascii="Times New Roman" w:cs="Times New Roman" w:eastAsia="Times New Roman" w:hAnsi="Times New Roman"/>
          <w:sz w:val="13"/>
          <w:szCs w:val="13"/>
          <w:color w:val="auto"/>
        </w:rPr>
        <w:t>”). Neither the Company nor any of its subsidiaries is in violation of, or in default under, any of the Permits or has received any notice of proceedings relating to the revocation or modification of, or non-compliance with, any such Permit.</w:t>
      </w:r>
    </w:p>
    <w:p>
      <w:pPr>
        <w:spacing w:after="0" w:line="297" w:lineRule="exact"/>
        <w:rPr>
          <w:rFonts w:ascii="Times New Roman" w:cs="Times New Roman" w:eastAsia="Times New Roman" w:hAnsi="Times New Roman"/>
          <w:sz w:val="13"/>
          <w:szCs w:val="13"/>
          <w:color w:val="auto"/>
        </w:rPr>
      </w:pPr>
    </w:p>
    <w:p>
      <w:pPr>
        <w:ind w:left="400" w:right="459" w:firstLine="321"/>
        <w:spacing w:after="0" w:line="265" w:lineRule="auto"/>
        <w:tabs>
          <w:tab w:leader="none" w:pos="949" w:val="left"/>
        </w:tabs>
        <w:numPr>
          <w:ilvl w:val="0"/>
          <w:numId w:val="5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Title to Properties</w:t>
      </w:r>
      <w:r>
        <w:rPr>
          <w:rFonts w:ascii="Times New Roman" w:cs="Times New Roman" w:eastAsia="Times New Roman" w:hAnsi="Times New Roman"/>
          <w:sz w:val="13"/>
          <w:szCs w:val="13"/>
          <w:color w:val="auto"/>
        </w:rPr>
        <w:t xml:space="preserve">. Except as otherwise disclosed in the Prospectus, the Company and its subsidiaries has good and marketable title to all of the real and personal property and other assets reflected as owned in the financial statements referred to in </w:t>
      </w:r>
      <w:r>
        <w:rPr>
          <w:rFonts w:ascii="Times New Roman" w:cs="Times New Roman" w:eastAsia="Times New Roman" w:hAnsi="Times New Roman"/>
          <w:sz w:val="13"/>
          <w:szCs w:val="13"/>
          <w:u w:val="single" w:color="auto"/>
          <w:color w:val="auto"/>
        </w:rPr>
        <w:t>Section 2(n)</w:t>
      </w:r>
      <w:r>
        <w:rPr>
          <w:rFonts w:ascii="Times New Roman" w:cs="Times New Roman" w:eastAsia="Times New Roman" w:hAnsi="Times New Roman"/>
          <w:sz w:val="13"/>
          <w:szCs w:val="13"/>
          <w:color w:val="auto"/>
        </w:rPr>
        <w:t xml:space="preserve"> above (or elsewhere in the Registration Statement or the Prospectus (except for the purpose of this clause (x), Intellectual Property), in each case free and clear of any security interests, mortgages, liens, encumbrances, equities, adverse claims and other defects, except as would not reasonably be expected, individually or in the aggregate, to result in a Material Adverse Change. The real property, improvements, equipment and personal property held under lease by the Company or of its subsidiary are held under valid and enforceable leases, with such exceptions as are not material and do not materially interfere with the use made or proposed to be made of such real property, improvements, equipment or personal property by the Company or such subsidiary.</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11</w:t>
      </w:r>
    </w:p>
    <w:p>
      <w:pPr>
        <w:sectPr>
          <w:pgSz w:w="11900" w:h="16838" w:orient="portrait"/>
          <w:cols w:equalWidth="0" w:num="1">
            <w:col w:w="9019"/>
          </w:cols>
          <w:pgMar w:left="1440" w:top="238" w:right="1440" w:bottom="1440" w:gutter="0" w:footer="0" w:header="0"/>
        </w:sectPr>
      </w:pPr>
    </w:p>
    <w:bookmarkStart w:id="116" w:name="page117"/>
    <w:bookmarkEnd w:id="116"/>
    <w:p>
      <w:pPr>
        <w:ind w:left="400" w:right="479" w:firstLine="321"/>
        <w:spacing w:after="0" w:line="264" w:lineRule="auto"/>
        <w:tabs>
          <w:tab w:leader="none" w:pos="919" w:val="left"/>
        </w:tabs>
        <w:numPr>
          <w:ilvl w:val="0"/>
          <w:numId w:val="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1">
                      <a:extLst>
                        <a:ext uri="{28A0092B-C50C-407E-A947-70E740481C1C}"/>
                      </a:extLst>
                    </a:blip>
                    <a:srcRect/>
                    <a:stretch>
                      <a:fillRect/>
                    </a:stretch>
                  </pic:blipFill>
                  <pic:spPr bwMode="auto">
                    <a:xfrm>
                      <a:off x="0" y="0"/>
                      <a:ext cx="7205345" cy="31750"/>
                    </a:xfrm>
                    <a:prstGeom prst="rect">
                      <a:avLst/>
                    </a:prstGeom>
                    <a:noFill/>
                  </pic:spPr>
                </pic:pic>
              </a:graphicData>
            </a:graphic>
          </wp:anchor>
        </w:drawing>
        <w:t>Tax Law Compliance</w:t>
      </w:r>
      <w:r>
        <w:rPr>
          <w:rFonts w:ascii="Times New Roman" w:cs="Times New Roman" w:eastAsia="Times New Roman" w:hAnsi="Times New Roman"/>
          <w:sz w:val="13"/>
          <w:szCs w:val="13"/>
          <w:color w:val="auto"/>
        </w:rPr>
        <w:t xml:space="preserve">. The Company and its subsidiaries have filed all necessary federal, state and foreign income and franchise tax returns or have properly requested extensions thereof and have paid all taxes required to be paid by any of them and, if due and payable, any related or similar assessment, fine or penalty levied against any of them except as may be being contested in good faith, which appeals have been or will be promptly taken or insofar as the failure to file such returns or pay such taxes would not reasonably be expected, individually or in the aggregate, to result in a Material Adverse Change. The Company has made adequate charges, accruals and reserves in the applicable financial statements referred to in </w:t>
      </w:r>
      <w:r>
        <w:rPr>
          <w:rFonts w:ascii="Times New Roman" w:cs="Times New Roman" w:eastAsia="Times New Roman" w:hAnsi="Times New Roman"/>
          <w:sz w:val="13"/>
          <w:szCs w:val="13"/>
          <w:u w:val="single" w:color="auto"/>
          <w:color w:val="auto"/>
        </w:rPr>
        <w:t>Section 2(m)</w:t>
      </w:r>
      <w:r>
        <w:rPr>
          <w:rFonts w:ascii="Times New Roman" w:cs="Times New Roman" w:eastAsia="Times New Roman" w:hAnsi="Times New Roman"/>
          <w:sz w:val="13"/>
          <w:szCs w:val="13"/>
          <w:color w:val="auto"/>
        </w:rPr>
        <w:t xml:space="preserve"> above in respect of all federal, state and foreign income and franchise taxes for all periods as to which the tax liability of the Company or any of its subsidiaries has not been finally determined, except to the extent of any inadequacy that would not reasonably be expected to result in a Material Adverse Change.</w:t>
      </w:r>
    </w:p>
    <w:p>
      <w:pPr>
        <w:spacing w:after="0" w:line="300" w:lineRule="exact"/>
        <w:rPr>
          <w:rFonts w:ascii="Times New Roman" w:cs="Times New Roman" w:eastAsia="Times New Roman" w:hAnsi="Times New Roman"/>
          <w:sz w:val="13"/>
          <w:szCs w:val="13"/>
          <w:color w:val="auto"/>
        </w:rPr>
      </w:pPr>
    </w:p>
    <w:p>
      <w:pPr>
        <w:ind w:left="400" w:right="599" w:firstLine="321"/>
        <w:spacing w:after="0" w:line="278" w:lineRule="auto"/>
        <w:tabs>
          <w:tab w:leader="none" w:pos="919" w:val="left"/>
        </w:tabs>
        <w:numPr>
          <w:ilvl w:val="0"/>
          <w:numId w:val="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Company Not an “Investment Company.”</w:t>
      </w:r>
      <w:r>
        <w:rPr>
          <w:rFonts w:ascii="Times New Roman" w:cs="Times New Roman" w:eastAsia="Times New Roman" w:hAnsi="Times New Roman"/>
          <w:sz w:val="13"/>
          <w:szCs w:val="13"/>
          <w:color w:val="auto"/>
        </w:rPr>
        <w:t xml:space="preserve"> The Company is not, and will not be, either after receipt of payment for the Shares or after the application of the proceeds therefrom as described under “Use of Proceeds” in the Registration Statement or the Prospectus, required to register as an “investment company” under the Investment Company Act of 1940, as amended.</w:t>
      </w:r>
    </w:p>
    <w:p>
      <w:pPr>
        <w:spacing w:after="0" w:line="125" w:lineRule="exact"/>
        <w:rPr>
          <w:rFonts w:ascii="Times New Roman" w:cs="Times New Roman" w:eastAsia="Times New Roman" w:hAnsi="Times New Roman"/>
          <w:sz w:val="13"/>
          <w:szCs w:val="13"/>
          <w:color w:val="auto"/>
        </w:rPr>
      </w:pPr>
    </w:p>
    <w:p>
      <w:pPr>
        <w:ind w:left="400" w:right="419" w:firstLine="321"/>
        <w:spacing w:after="0" w:line="264" w:lineRule="auto"/>
        <w:tabs>
          <w:tab w:leader="none" w:pos="911" w:val="left"/>
        </w:tabs>
        <w:numPr>
          <w:ilvl w:val="0"/>
          <w:numId w:val="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Insurance</w:t>
      </w:r>
      <w:r>
        <w:rPr>
          <w:rFonts w:ascii="Times New Roman" w:cs="Times New Roman" w:eastAsia="Times New Roman" w:hAnsi="Times New Roman"/>
          <w:sz w:val="13"/>
          <w:szCs w:val="13"/>
          <w:color w:val="auto"/>
        </w:rPr>
        <w:t>. Except as otherwise disclosed in the Prospectus, each of the Company and its subsidiaries are insured by recognized, financially sound and reputable institutions with policies in such amounts and with such deductibles and covering such risks as are generally deemed adequate and customary for their businesses including, but not limited to, policies covering real and personal property owned or leased by the Company and its subsidiaries against theft, damage, destruction, acts of vandalism and earthquakes and policies covering the Company for product liability claims. The Company has no reason to believe that it or any of its subsidiaries will not be able (i) to renew its existing insurance coverage as and when such policies expire or (ii) to obtain comparable coverage from similar institutions as may be necessary or appropriate to conduct its business as now conducted and at a cost that would not reasonably be expected to result in a Material Adverse Change. Neither the Company nor any of its subsidiaries has been denied any insurance coverage which it has sought or for which it has applied.</w:t>
      </w:r>
    </w:p>
    <w:p>
      <w:pPr>
        <w:spacing w:after="0" w:line="136" w:lineRule="exact"/>
        <w:rPr>
          <w:sz w:val="20"/>
          <w:szCs w:val="20"/>
          <w:color w:val="auto"/>
        </w:rPr>
      </w:pPr>
    </w:p>
    <w:p>
      <w:pPr>
        <w:ind w:left="400" w:right="419" w:firstLine="321"/>
        <w:spacing w:after="0" w:line="271" w:lineRule="auto"/>
        <w:tabs>
          <w:tab w:leader="none" w:pos="971" w:val="left"/>
        </w:tabs>
        <w:numPr>
          <w:ilvl w:val="0"/>
          <w:numId w:val="5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No Price Stabilization or Manipulation; Compliance with Regulation M</w:t>
      </w:r>
      <w:r>
        <w:rPr>
          <w:rFonts w:ascii="Times New Roman" w:cs="Times New Roman" w:eastAsia="Times New Roman" w:hAnsi="Times New Roman"/>
          <w:sz w:val="13"/>
          <w:szCs w:val="13"/>
          <w:color w:val="auto"/>
        </w:rPr>
        <w:t>. Neither the Company nor any of its subsidiaries has taken, directly or indirectly, any action designed to or that might cause or result in stabilization or manipulation of the price of the Common Shares or of any “reference security” (as defined in Rule 100 of Regulation M under the Exchange Act (</w:t>
      </w:r>
      <w:r>
        <w:rPr>
          <w:rFonts w:ascii="Times New Roman" w:cs="Times New Roman" w:eastAsia="Times New Roman" w:hAnsi="Times New Roman"/>
          <w:sz w:val="13"/>
          <w:szCs w:val="13"/>
          <w:b w:val="1"/>
          <w:bCs w:val="1"/>
          <w:color w:val="auto"/>
        </w:rPr>
        <w:t>“Regulation M”</w:t>
      </w:r>
      <w:r>
        <w:rPr>
          <w:rFonts w:ascii="Times New Roman" w:cs="Times New Roman" w:eastAsia="Times New Roman" w:hAnsi="Times New Roman"/>
          <w:sz w:val="13"/>
          <w:szCs w:val="13"/>
          <w:color w:val="auto"/>
        </w:rPr>
        <w:t>)) with respect to the Common Shares, whether to facilitate the sale or resale of the Shares or otherwise, and has taken no action which would directly or indirectly violate Regulation M.</w:t>
      </w:r>
    </w:p>
    <w:p>
      <w:pPr>
        <w:spacing w:after="0" w:line="131" w:lineRule="exact"/>
        <w:rPr>
          <w:rFonts w:ascii="Times New Roman" w:cs="Times New Roman" w:eastAsia="Times New Roman" w:hAnsi="Times New Roman"/>
          <w:sz w:val="13"/>
          <w:szCs w:val="13"/>
          <w:color w:val="auto"/>
        </w:rPr>
      </w:pPr>
    </w:p>
    <w:p>
      <w:pPr>
        <w:ind w:left="400" w:right="459" w:firstLine="321"/>
        <w:spacing w:after="0" w:line="297" w:lineRule="auto"/>
        <w:tabs>
          <w:tab w:leader="none" w:pos="986" w:val="left"/>
        </w:tabs>
        <w:numPr>
          <w:ilvl w:val="0"/>
          <w:numId w:val="5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Related Party Transactions</w:t>
      </w:r>
      <w:r>
        <w:rPr>
          <w:rFonts w:ascii="Times New Roman" w:cs="Times New Roman" w:eastAsia="Times New Roman" w:hAnsi="Times New Roman"/>
          <w:sz w:val="13"/>
          <w:szCs w:val="13"/>
          <w:color w:val="auto"/>
        </w:rPr>
        <w:t>. There are no business relationships or related-party transactions involving the Company or any of its subsidiaries or any other person required to be described in the Registration Statement or the Prospectus which have not been described as required.</w:t>
      </w:r>
    </w:p>
    <w:p>
      <w:pPr>
        <w:spacing w:after="0" w:line="113" w:lineRule="exact"/>
        <w:rPr>
          <w:rFonts w:ascii="Times New Roman" w:cs="Times New Roman" w:eastAsia="Times New Roman" w:hAnsi="Times New Roman"/>
          <w:sz w:val="13"/>
          <w:szCs w:val="13"/>
          <w:color w:val="auto"/>
        </w:rPr>
      </w:pPr>
    </w:p>
    <w:p>
      <w:pPr>
        <w:ind w:left="400" w:right="419" w:firstLine="321"/>
        <w:spacing w:after="0" w:line="270" w:lineRule="auto"/>
        <w:tabs>
          <w:tab w:leader="none" w:pos="971" w:val="left"/>
        </w:tabs>
        <w:numPr>
          <w:ilvl w:val="0"/>
          <w:numId w:val="5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FINRA Matters</w:t>
      </w:r>
      <w:r>
        <w:rPr>
          <w:rFonts w:ascii="Times New Roman" w:cs="Times New Roman" w:eastAsia="Times New Roman" w:hAnsi="Times New Roman"/>
          <w:sz w:val="13"/>
          <w:szCs w:val="13"/>
          <w:color w:val="auto"/>
        </w:rPr>
        <w:t>. All of the information provided to the Agent or to counsel for the Agent by the Company, its counsel, its officers and directors and the holders of any securities (debt or equity) or options to acquire any securities of the Company in connection with the offering of the Shares is true, complete, correct and compliant with Financial Industry Regulatory Authority, Inc.’s (“</w:t>
      </w:r>
      <w:r>
        <w:rPr>
          <w:rFonts w:ascii="Times New Roman" w:cs="Times New Roman" w:eastAsia="Times New Roman" w:hAnsi="Times New Roman"/>
          <w:sz w:val="13"/>
          <w:szCs w:val="13"/>
          <w:b w:val="1"/>
          <w:bCs w:val="1"/>
          <w:color w:val="auto"/>
        </w:rPr>
        <w:t>FINRA</w:t>
      </w:r>
      <w:r>
        <w:rPr>
          <w:rFonts w:ascii="Times New Roman" w:cs="Times New Roman" w:eastAsia="Times New Roman" w:hAnsi="Times New Roman"/>
          <w:sz w:val="13"/>
          <w:szCs w:val="13"/>
          <w:color w:val="auto"/>
        </w:rPr>
        <w:t>”) rules, and to the Company’s knowledge, any letters, filings or other supplemental information provided to FINRA pursuant to FINRA Rules or NASD Conduct Rules is true, complete and correct.</w:t>
      </w: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12</w:t>
      </w:r>
    </w:p>
    <w:p>
      <w:pPr>
        <w:sectPr>
          <w:pgSz w:w="11900" w:h="16838" w:orient="portrait"/>
          <w:cols w:equalWidth="0" w:num="1">
            <w:col w:w="9019"/>
          </w:cols>
          <w:pgMar w:left="1440" w:top="238" w:right="1440" w:bottom="1440" w:gutter="0" w:footer="0" w:header="0"/>
        </w:sectPr>
      </w:pPr>
    </w:p>
    <w:bookmarkStart w:id="117" w:name="page118"/>
    <w:bookmarkEnd w:id="117"/>
    <w:p>
      <w:pPr>
        <w:ind w:left="400" w:right="479" w:firstLine="321"/>
        <w:spacing w:after="0" w:line="271" w:lineRule="auto"/>
        <w:tabs>
          <w:tab w:leader="none" w:pos="986" w:val="left"/>
        </w:tabs>
        <w:numPr>
          <w:ilvl w:val="1"/>
          <w:numId w:val="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2">
                      <a:extLst>
                        <a:ext uri="{28A0092B-C50C-407E-A947-70E740481C1C}"/>
                      </a:extLst>
                    </a:blip>
                    <a:srcRect/>
                    <a:stretch>
                      <a:fillRect/>
                    </a:stretch>
                  </pic:blipFill>
                  <pic:spPr bwMode="auto">
                    <a:xfrm>
                      <a:off x="0" y="0"/>
                      <a:ext cx="7205345" cy="31750"/>
                    </a:xfrm>
                    <a:prstGeom prst="rect">
                      <a:avLst/>
                    </a:prstGeom>
                    <a:noFill/>
                  </pic:spPr>
                </pic:pic>
              </a:graphicData>
            </a:graphic>
          </wp:anchor>
        </w:drawing>
        <w:t>No Unlawful Contributions or Other Payments</w:t>
      </w:r>
      <w:r>
        <w:rPr>
          <w:rFonts w:ascii="Times New Roman" w:cs="Times New Roman" w:eastAsia="Times New Roman" w:hAnsi="Times New Roman"/>
          <w:sz w:val="13"/>
          <w:szCs w:val="13"/>
          <w:color w:val="auto"/>
        </w:rPr>
        <w:t>. Except as otherwise disclosed in the Prospectus, neither the Company nor any of its subsidiaries nor, to the best of the Company’s knowledge, any employee or agent of the Company or any subsidiary, has made any contribution or other payment to any official of, or candidate for, any federal, state or foreign office in violation of any law or of the character required to be disclosed in the Registration Statement and the Prospectus.</w:t>
      </w:r>
    </w:p>
    <w:p>
      <w:pPr>
        <w:spacing w:after="0" w:line="131" w:lineRule="exact"/>
        <w:rPr>
          <w:rFonts w:ascii="Times New Roman" w:cs="Times New Roman" w:eastAsia="Times New Roman" w:hAnsi="Times New Roman"/>
          <w:sz w:val="13"/>
          <w:szCs w:val="13"/>
          <w:color w:val="auto"/>
        </w:rPr>
      </w:pPr>
    </w:p>
    <w:p>
      <w:pPr>
        <w:ind w:left="400" w:right="419" w:firstLine="321"/>
        <w:spacing w:after="0" w:line="260" w:lineRule="auto"/>
        <w:tabs>
          <w:tab w:leader="none" w:pos="971" w:val="left"/>
        </w:tabs>
        <w:numPr>
          <w:ilvl w:val="1"/>
          <w:numId w:val="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Compliance with Environmental Laws</w:t>
      </w:r>
      <w:r>
        <w:rPr>
          <w:rFonts w:ascii="Times New Roman" w:cs="Times New Roman" w:eastAsia="Times New Roman" w:hAnsi="Times New Roman"/>
          <w:sz w:val="13"/>
          <w:szCs w:val="13"/>
          <w:color w:val="auto"/>
        </w:rPr>
        <w:t>. Except as described in the Prospectus and except as would not reasonably be expected, individually or in the aggregate, to result in a Material Adverse Change; (i) neither the Company nor any of its subsidiaries is in violation of any federal, state, local or foreign statute, law, rule, regulation, ordinance, code, policy or rule of common law or any judicial or administrative interpretation thereof, including any judicial or administrative order, consent, decree or judgment, relating to pollution or protection of human health, the environment (including, without limitation, ambient air, surface water, groundwater, land surface or subsurface strata) or wildlife, including, without limitation, laws and regulations relating to the release or threatened release of chemicals, pollutants, contaminants, wastes, toxic substances, hazardous substances, petroleum or petroleum products (collectively, “</w:t>
      </w:r>
      <w:r>
        <w:rPr>
          <w:rFonts w:ascii="Times New Roman" w:cs="Times New Roman" w:eastAsia="Times New Roman" w:hAnsi="Times New Roman"/>
          <w:sz w:val="13"/>
          <w:szCs w:val="13"/>
          <w:b w:val="1"/>
          <w:bCs w:val="1"/>
          <w:color w:val="auto"/>
        </w:rPr>
        <w:t>Hazardous Materials</w:t>
      </w:r>
      <w:r>
        <w:rPr>
          <w:rFonts w:ascii="Times New Roman" w:cs="Times New Roman" w:eastAsia="Times New Roman" w:hAnsi="Times New Roman"/>
          <w:sz w:val="13"/>
          <w:szCs w:val="13"/>
          <w:color w:val="auto"/>
        </w:rPr>
        <w:t>”) or to the manufacture, processing, distribution, use, treatment, storage, disposal, transport or handling of Hazardous Materials (collectively, “</w:t>
      </w:r>
      <w:r>
        <w:rPr>
          <w:rFonts w:ascii="Times New Roman" w:cs="Times New Roman" w:eastAsia="Times New Roman" w:hAnsi="Times New Roman"/>
          <w:sz w:val="13"/>
          <w:szCs w:val="13"/>
          <w:b w:val="1"/>
          <w:bCs w:val="1"/>
          <w:color w:val="auto"/>
        </w:rPr>
        <w:t>Environmental Laws</w:t>
      </w:r>
      <w:r>
        <w:rPr>
          <w:rFonts w:ascii="Times New Roman" w:cs="Times New Roman" w:eastAsia="Times New Roman" w:hAnsi="Times New Roman"/>
          <w:sz w:val="13"/>
          <w:szCs w:val="13"/>
          <w:color w:val="auto"/>
        </w:rPr>
        <w:t>”), (ii) the Company and its subsidiaries have all permits, authorizations and approvals required under any applicable Environmental Laws and are each in compliance with their requirements, (iii) there are no pending or, to the Company’s knowledge, threatened administrative, regulatory or judicial actions, suits, demands, demand letters, claims, liens, notices of noncompliance or violation, investigation or proceedings relating to any Environmental Law against the Company or any of its subsidiaries and</w:t>
      </w:r>
    </w:p>
    <w:p>
      <w:pPr>
        <w:spacing w:after="0" w:line="4" w:lineRule="exact"/>
        <w:rPr>
          <w:rFonts w:ascii="Times New Roman" w:cs="Times New Roman" w:eastAsia="Times New Roman" w:hAnsi="Times New Roman"/>
          <w:sz w:val="13"/>
          <w:szCs w:val="13"/>
          <w:color w:val="auto"/>
        </w:rPr>
      </w:pPr>
    </w:p>
    <w:p>
      <w:pPr>
        <w:ind w:left="400" w:right="439" w:hanging="8"/>
        <w:spacing w:after="0" w:line="268" w:lineRule="auto"/>
        <w:tabs>
          <w:tab w:leader="none" w:pos="628" w:val="left"/>
        </w:tabs>
        <w:numPr>
          <w:ilvl w:val="0"/>
          <w:numId w:val="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the knowledge of the Company, there are no events or circumstances that would reasonably be expected to form the basis of an order for clean-up or remediation, or an action, suit or proceeding by any private party or governmental body or agency, against or affecting the Company or any of its subsidiaries relating to Hazardous Materials or any Environmental Laws.</w:t>
      </w:r>
    </w:p>
    <w:p>
      <w:pPr>
        <w:spacing w:after="0" w:line="131" w:lineRule="exact"/>
        <w:rPr>
          <w:rFonts w:ascii="Times New Roman" w:cs="Times New Roman" w:eastAsia="Times New Roman" w:hAnsi="Times New Roman"/>
          <w:sz w:val="13"/>
          <w:szCs w:val="13"/>
          <w:color w:val="auto"/>
        </w:rPr>
      </w:pPr>
    </w:p>
    <w:p>
      <w:pPr>
        <w:ind w:left="400" w:right="399" w:firstLine="321"/>
        <w:spacing w:after="0" w:line="266" w:lineRule="auto"/>
        <w:tabs>
          <w:tab w:leader="none" w:pos="939" w:val="left"/>
        </w:tabs>
        <w:numPr>
          <w:ilvl w:val="1"/>
          <w:numId w:val="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Periodic Review of Costs of Environmental Compliance</w:t>
      </w:r>
      <w:r>
        <w:rPr>
          <w:rFonts w:ascii="Times New Roman" w:cs="Times New Roman" w:eastAsia="Times New Roman" w:hAnsi="Times New Roman"/>
          <w:sz w:val="13"/>
          <w:szCs w:val="13"/>
          <w:color w:val="auto"/>
        </w:rPr>
        <w:t>. In the ordinary course of its business, the Company conducts a periodic review of the effect of Environmental Laws on the business, operations and properties of the Company and its subsidiaries, in the course of which it identifies and evaluates associated costs and liabilities (including, without limitation, any capital or operating expenditures required for clean-up, closure of properties or compliance with Environmental Laws or any permit, license or approval, any related constraints on operating activities and any potential liabilities to third parties). No facts or circumstances have come to the Company’s attention that would reasonably be expected, individually or in the aggregate, to result in a Material Adverse Change.</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13</w:t>
      </w:r>
    </w:p>
    <w:p>
      <w:pPr>
        <w:sectPr>
          <w:pgSz w:w="11900" w:h="16838" w:orient="portrait"/>
          <w:cols w:equalWidth="0" w:num="1">
            <w:col w:w="9019"/>
          </w:cols>
          <w:pgMar w:left="1440" w:top="238" w:right="1440" w:bottom="1440" w:gutter="0" w:footer="0" w:header="0"/>
        </w:sectPr>
      </w:pPr>
    </w:p>
    <w:bookmarkStart w:id="118" w:name="page119"/>
    <w:bookmarkEnd w:id="118"/>
    <w:p>
      <w:pPr>
        <w:ind w:left="400" w:right="419" w:firstLine="321"/>
        <w:spacing w:after="0" w:line="262" w:lineRule="auto"/>
        <w:tabs>
          <w:tab w:leader="none" w:pos="986" w:val="left"/>
        </w:tabs>
        <w:numPr>
          <w:ilvl w:val="0"/>
          <w:numId w:val="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3">
                      <a:extLst>
                        <a:ext uri="{28A0092B-C50C-407E-A947-70E740481C1C}"/>
                      </a:extLst>
                    </a:blip>
                    <a:srcRect/>
                    <a:stretch>
                      <a:fillRect/>
                    </a:stretch>
                  </pic:blipFill>
                  <pic:spPr bwMode="auto">
                    <a:xfrm>
                      <a:off x="0" y="0"/>
                      <a:ext cx="7205345" cy="31750"/>
                    </a:xfrm>
                    <a:prstGeom prst="rect">
                      <a:avLst/>
                    </a:prstGeom>
                    <a:noFill/>
                  </pic:spPr>
                </pic:pic>
              </a:graphicData>
            </a:graphic>
          </wp:anchor>
        </w:drawing>
        <w:t>ERISA Compliance</w:t>
      </w:r>
      <w:r>
        <w:rPr>
          <w:rFonts w:ascii="Times New Roman" w:cs="Times New Roman" w:eastAsia="Times New Roman" w:hAnsi="Times New Roman"/>
          <w:sz w:val="13"/>
          <w:szCs w:val="13"/>
          <w:color w:val="auto"/>
        </w:rPr>
        <w:t>. Except as otherwise disclosed in the Prospectus, the Company and its subsidiaries and any “employee benefit plan” (as defined under the Employee Retirement Income Security Act of 1974, as amended, and the regulations and published interpretations thereunder (collectively, “</w:t>
      </w:r>
      <w:r>
        <w:rPr>
          <w:rFonts w:ascii="Times New Roman" w:cs="Times New Roman" w:eastAsia="Times New Roman" w:hAnsi="Times New Roman"/>
          <w:sz w:val="13"/>
          <w:szCs w:val="13"/>
          <w:b w:val="1"/>
          <w:bCs w:val="1"/>
          <w:color w:val="auto"/>
        </w:rPr>
        <w:t>ERISA</w:t>
      </w:r>
      <w:r>
        <w:rPr>
          <w:rFonts w:ascii="Times New Roman" w:cs="Times New Roman" w:eastAsia="Times New Roman" w:hAnsi="Times New Roman"/>
          <w:sz w:val="13"/>
          <w:szCs w:val="13"/>
          <w:color w:val="auto"/>
        </w:rPr>
        <w:t>”)) established or maintained by the Company, its subsidiaries or their “ERISA Affiliates” (as defined below) are in compliance in all material respects with ERISA. “</w:t>
      </w:r>
      <w:r>
        <w:rPr>
          <w:rFonts w:ascii="Times New Roman" w:cs="Times New Roman" w:eastAsia="Times New Roman" w:hAnsi="Times New Roman"/>
          <w:sz w:val="13"/>
          <w:szCs w:val="13"/>
          <w:b w:val="1"/>
          <w:bCs w:val="1"/>
          <w:color w:val="auto"/>
        </w:rPr>
        <w:t>ERISA Affiliate</w:t>
      </w:r>
      <w:r>
        <w:rPr>
          <w:rFonts w:ascii="Times New Roman" w:cs="Times New Roman" w:eastAsia="Times New Roman" w:hAnsi="Times New Roman"/>
          <w:sz w:val="13"/>
          <w:szCs w:val="13"/>
          <w:color w:val="auto"/>
        </w:rPr>
        <w:t>” means, with respect to the Company or any of its subsidiaries, any member of any group of organizations described in Sections 414(b), (c), (m) or (o) of the Internal Revenue Code of 1986, as amended, and the regulations and published interpretations thereunder (the “</w:t>
      </w:r>
      <w:r>
        <w:rPr>
          <w:rFonts w:ascii="Times New Roman" w:cs="Times New Roman" w:eastAsia="Times New Roman" w:hAnsi="Times New Roman"/>
          <w:sz w:val="13"/>
          <w:szCs w:val="13"/>
          <w:b w:val="1"/>
          <w:bCs w:val="1"/>
          <w:color w:val="auto"/>
        </w:rPr>
        <w:t>Code</w:t>
      </w:r>
      <w:r>
        <w:rPr>
          <w:rFonts w:ascii="Times New Roman" w:cs="Times New Roman" w:eastAsia="Times New Roman" w:hAnsi="Times New Roman"/>
          <w:sz w:val="13"/>
          <w:szCs w:val="13"/>
          <w:color w:val="auto"/>
        </w:rPr>
        <w:t>”) of which the Company or such subsidiary is a member. No “reportable event” (as defined under ERISA) has occurred or is reasonably expected to occur with respect to any “employee benefit plan” established or maintained by the Company, its subsidiaries or any of their ERISA Affiliates. No “employee benefit plan” established or maintained by the Company, its subsidiaries or any of their ERISA Affiliates, if such “employee benefit plan” were terminated, would have any “amount of unfunded benefit liabilities” (as defined under ERISA). Neither the Company, its subsidiaries nor any of their ERISA Affiliates has incurred or reasonably expects to incur any liability under (i) Title IV of ERISA with respect to termination of, or withdrawal from, any “employee benefit plan” or (ii) Sections 412, 4971, 4975 or 4980B of the Code. Each “employee benefit plan” established or maintained by the Company, its subsidiaries or any of their ERISA Affiliates that is intended to be qualified under Section 401(a) of the Code is so qualified and nothing has occurred, whether by action or failure to act, which would cause the loss of such qualification.</w:t>
      </w:r>
    </w:p>
    <w:p>
      <w:pPr>
        <w:spacing w:after="0" w:line="135" w:lineRule="exact"/>
        <w:rPr>
          <w:rFonts w:ascii="Times New Roman" w:cs="Times New Roman" w:eastAsia="Times New Roman" w:hAnsi="Times New Roman"/>
          <w:sz w:val="13"/>
          <w:szCs w:val="13"/>
          <w:color w:val="auto"/>
        </w:rPr>
      </w:pPr>
    </w:p>
    <w:p>
      <w:pPr>
        <w:ind w:left="400" w:right="439" w:firstLine="321"/>
        <w:spacing w:after="0" w:line="297" w:lineRule="auto"/>
        <w:tabs>
          <w:tab w:leader="none" w:pos="986" w:val="left"/>
        </w:tabs>
        <w:numPr>
          <w:ilvl w:val="0"/>
          <w:numId w:val="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Brokers</w:t>
      </w:r>
      <w:r>
        <w:rPr>
          <w:rFonts w:ascii="Times New Roman" w:cs="Times New Roman" w:eastAsia="Times New Roman" w:hAnsi="Times New Roman"/>
          <w:sz w:val="13"/>
          <w:szCs w:val="13"/>
          <w:color w:val="auto"/>
        </w:rPr>
        <w:t>. Except as otherwise disclosed in the Prospectus, there is no broker, finder or other party that is entitled to receive from the Company any brokerage or finder’s fee or other fee or commission as a result of any transactions contemplated by this Agreement.</w:t>
      </w:r>
    </w:p>
    <w:p>
      <w:pPr>
        <w:spacing w:after="0" w:line="113" w:lineRule="exact"/>
        <w:rPr>
          <w:rFonts w:ascii="Times New Roman" w:cs="Times New Roman" w:eastAsia="Times New Roman" w:hAnsi="Times New Roman"/>
          <w:sz w:val="13"/>
          <w:szCs w:val="13"/>
          <w:color w:val="auto"/>
        </w:rPr>
      </w:pPr>
    </w:p>
    <w:p>
      <w:pPr>
        <w:ind w:left="400" w:right="679" w:firstLine="321"/>
        <w:spacing w:after="0" w:line="278" w:lineRule="auto"/>
        <w:tabs>
          <w:tab w:leader="none" w:pos="926" w:val="left"/>
        </w:tabs>
        <w:numPr>
          <w:ilvl w:val="0"/>
          <w:numId w:val="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No Outstanding Loans or Other Extensions of Credit</w:t>
      </w:r>
      <w:r>
        <w:rPr>
          <w:rFonts w:ascii="Times New Roman" w:cs="Times New Roman" w:eastAsia="Times New Roman" w:hAnsi="Times New Roman"/>
          <w:sz w:val="13"/>
          <w:szCs w:val="13"/>
          <w:color w:val="auto"/>
        </w:rPr>
        <w:t>. The Company does not have any outstanding extension of credit, in the form of a personal loan, to or for any director or executive officer (or equivalent thereof) of the Company except for such extensions of credit as are expressly permitted by Section 13(k) of the Exchange Act.</w:t>
      </w:r>
    </w:p>
    <w:p>
      <w:pPr>
        <w:spacing w:after="0" w:line="125" w:lineRule="exact"/>
        <w:rPr>
          <w:rFonts w:ascii="Times New Roman" w:cs="Times New Roman" w:eastAsia="Times New Roman" w:hAnsi="Times New Roman"/>
          <w:sz w:val="13"/>
          <w:szCs w:val="13"/>
          <w:color w:val="auto"/>
        </w:rPr>
      </w:pPr>
    </w:p>
    <w:p>
      <w:pPr>
        <w:ind w:left="400" w:right="499" w:firstLine="321"/>
        <w:spacing w:after="0" w:line="297" w:lineRule="auto"/>
        <w:tabs>
          <w:tab w:leader="none" w:pos="926" w:val="left"/>
        </w:tabs>
        <w:numPr>
          <w:ilvl w:val="0"/>
          <w:numId w:val="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Compliance with Laws</w:t>
      </w:r>
      <w:r>
        <w:rPr>
          <w:rFonts w:ascii="Times New Roman" w:cs="Times New Roman" w:eastAsia="Times New Roman" w:hAnsi="Times New Roman"/>
          <w:sz w:val="13"/>
          <w:szCs w:val="13"/>
          <w:color w:val="auto"/>
        </w:rPr>
        <w:t>. The Company and its subsidiaries have been and are in compliance with all applicable laws, rules and regulations, except where failure to be so in compliance would not reasonably be expected, individually or in the aggregate, to result in a Material Adverse Change.</w:t>
      </w:r>
    </w:p>
    <w:p>
      <w:pPr>
        <w:spacing w:after="0" w:line="113" w:lineRule="exact"/>
        <w:rPr>
          <w:rFonts w:ascii="Times New Roman" w:cs="Times New Roman" w:eastAsia="Times New Roman" w:hAnsi="Times New Roman"/>
          <w:sz w:val="13"/>
          <w:szCs w:val="13"/>
          <w:color w:val="auto"/>
        </w:rPr>
      </w:pPr>
    </w:p>
    <w:p>
      <w:pPr>
        <w:ind w:left="400" w:right="459" w:firstLine="321"/>
        <w:spacing w:after="0" w:line="271" w:lineRule="auto"/>
        <w:tabs>
          <w:tab w:leader="none" w:pos="986" w:val="left"/>
        </w:tabs>
        <w:numPr>
          <w:ilvl w:val="0"/>
          <w:numId w:val="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Dividend Restrictions</w:t>
      </w:r>
      <w:r>
        <w:rPr>
          <w:rFonts w:ascii="Times New Roman" w:cs="Times New Roman" w:eastAsia="Times New Roman" w:hAnsi="Times New Roman"/>
          <w:sz w:val="13"/>
          <w:szCs w:val="13"/>
          <w:color w:val="auto"/>
        </w:rPr>
        <w:t>. Except as disclosed in the Prospectus, no subsidiary of the Company is prohibited or restricted, directly or indirectly, from paying dividends to the Company, or from making any other distribution with respect to such subsidiary’s equity securities or from repaying to the Company or any other subsidiary of the Company any amounts that may from time to time become due under any loans or advances to such subsidiary from the Company or from transferring any property or assets to the Company or to any other subsidiary.</w:t>
      </w:r>
    </w:p>
    <w:p>
      <w:pPr>
        <w:spacing w:after="0" w:line="131" w:lineRule="exact"/>
        <w:rPr>
          <w:rFonts w:ascii="Times New Roman" w:cs="Times New Roman" w:eastAsia="Times New Roman" w:hAnsi="Times New Roman"/>
          <w:sz w:val="13"/>
          <w:szCs w:val="13"/>
          <w:color w:val="auto"/>
        </w:rPr>
      </w:pPr>
    </w:p>
    <w:p>
      <w:pPr>
        <w:ind w:left="400" w:right="439" w:firstLine="321"/>
        <w:spacing w:after="0" w:line="268" w:lineRule="auto"/>
        <w:tabs>
          <w:tab w:leader="none" w:pos="926" w:val="left"/>
        </w:tabs>
        <w:numPr>
          <w:ilvl w:val="0"/>
          <w:numId w:val="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Anti-Corruption and Anti-Bribery Laws</w:t>
      </w:r>
      <w:r>
        <w:rPr>
          <w:rFonts w:ascii="Times New Roman" w:cs="Times New Roman" w:eastAsia="Times New Roman" w:hAnsi="Times New Roman"/>
          <w:sz w:val="13"/>
          <w:szCs w:val="13"/>
          <w:color w:val="auto"/>
        </w:rPr>
        <w:t>. Neither the Company nor any of its subsidiaries nor, to the knowledge of the Company, any director, officer, or employee of the Company or any of its subsidiaries, or any agent, Affiliate or other person acting on behalf of the Company or any of its subsidiaries has, in the course of its actions for, or on behalf of, the Company or any of its subsidiaries (i) used any corporate funds for any unlawful contribution, gift, entertainment or other unlawful expenses relating to political activity; (ii) made or taken any act in furtherance of an offer, promise, or authorization of any direct or indirect unlawful payment or benefit to any foreign or domestic government official or employee, including of any</w:t>
      </w:r>
    </w:p>
    <w:p>
      <w:pPr>
        <w:spacing w:after="0" w:line="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14</w:t>
      </w:r>
    </w:p>
    <w:p>
      <w:pPr>
        <w:sectPr>
          <w:pgSz w:w="11900" w:h="16838" w:orient="portrait"/>
          <w:cols w:equalWidth="0" w:num="1">
            <w:col w:w="9019"/>
          </w:cols>
          <w:pgMar w:left="1440" w:top="238" w:right="1440" w:bottom="1440" w:gutter="0" w:footer="0" w:header="0"/>
        </w:sectPr>
      </w:pPr>
    </w:p>
    <w:bookmarkStart w:id="119" w:name="page120"/>
    <w:bookmarkEnd w:id="119"/>
    <w:p>
      <w:pPr>
        <w:ind w:left="40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4">
                      <a:extLst>
                        <a:ext uri="{28A0092B-C50C-407E-A947-70E740481C1C}"/>
                      </a:extLst>
                    </a:blip>
                    <a:srcRect/>
                    <a:stretch>
                      <a:fillRect/>
                    </a:stretch>
                  </pic:blipFill>
                  <pic:spPr bwMode="auto">
                    <a:xfrm>
                      <a:off x="0" y="0"/>
                      <a:ext cx="7205345" cy="31750"/>
                    </a:xfrm>
                    <a:prstGeom prst="rect">
                      <a:avLst/>
                    </a:prstGeom>
                    <a:noFill/>
                  </pic:spPr>
                </pic:pic>
              </a:graphicData>
            </a:graphic>
          </wp:anchor>
        </w:drawing>
        <w:t>government-owned or controlled entity or public international organization, or any political party, party official, or candidate for political office;</w:t>
      </w:r>
    </w:p>
    <w:p>
      <w:pPr>
        <w:spacing w:after="0" w:line="24" w:lineRule="exact"/>
        <w:rPr>
          <w:sz w:val="20"/>
          <w:szCs w:val="20"/>
          <w:color w:val="auto"/>
        </w:rPr>
      </w:pPr>
    </w:p>
    <w:p>
      <w:pPr>
        <w:ind w:left="400" w:right="439" w:hanging="8"/>
        <w:spacing w:after="0" w:line="263" w:lineRule="auto"/>
        <w:tabs>
          <w:tab w:leader="none" w:pos="635" w:val="left"/>
        </w:tabs>
        <w:numPr>
          <w:ilvl w:val="0"/>
          <w:numId w:val="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violated or is in violation of any applicable provision of the U.S. Foreign Corrupt Practices Act of 1977, as amended (the “</w:t>
      </w:r>
      <w:r>
        <w:rPr>
          <w:rFonts w:ascii="Times New Roman" w:cs="Times New Roman" w:eastAsia="Times New Roman" w:hAnsi="Times New Roman"/>
          <w:sz w:val="13"/>
          <w:szCs w:val="13"/>
          <w:b w:val="1"/>
          <w:bCs w:val="1"/>
          <w:color w:val="auto"/>
        </w:rPr>
        <w:t>FCPA</w:t>
      </w:r>
      <w:r>
        <w:rPr>
          <w:rFonts w:ascii="Times New Roman" w:cs="Times New Roman" w:eastAsia="Times New Roman" w:hAnsi="Times New Roman"/>
          <w:sz w:val="13"/>
          <w:szCs w:val="13"/>
          <w:color w:val="auto"/>
        </w:rPr>
        <w:t>”), the UK Bribery Act 2010, or any other applicable anti-bribery or anti-corruption law; or (iv) made, offered, authorized, requested, or taken an act in furtherance of any unlawful bribe, rebate, payoff, influence payment, kickback or other unlawful payment or benefit. The Company and its subsidiaries and, to the knowledge of the Company, the Company’s controlled Affiliates have conducted their respective businesses in compliance with the FCPA and have instituted and maintain policies and procedures designed to ensure, and which are reasonably expected to continue to ensure, continued compliance therewith.</w:t>
      </w:r>
    </w:p>
    <w:p>
      <w:pPr>
        <w:spacing w:after="0" w:line="297" w:lineRule="exact"/>
        <w:rPr>
          <w:rFonts w:ascii="Times New Roman" w:cs="Times New Roman" w:eastAsia="Times New Roman" w:hAnsi="Times New Roman"/>
          <w:sz w:val="13"/>
          <w:szCs w:val="13"/>
          <w:color w:val="auto"/>
        </w:rPr>
      </w:pPr>
    </w:p>
    <w:p>
      <w:pPr>
        <w:ind w:left="400" w:right="439" w:firstLine="321"/>
        <w:spacing w:after="0" w:line="266" w:lineRule="auto"/>
        <w:tabs>
          <w:tab w:leader="none" w:pos="1061" w:val="left"/>
        </w:tabs>
        <w:numPr>
          <w:ilvl w:val="1"/>
          <w:numId w:val="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Anti-Money Laundering Laws</w:t>
      </w:r>
      <w:r>
        <w:rPr>
          <w:rFonts w:ascii="Times New Roman" w:cs="Times New Roman" w:eastAsia="Times New Roman" w:hAnsi="Times New Roman"/>
          <w:sz w:val="13"/>
          <w:szCs w:val="13"/>
          <w:color w:val="auto"/>
        </w:rPr>
        <w:t>. The operations of the Company and its subsidiaries are, and have been conducted at all times, in compliance with applicable financial recordkeeping and reporting requirements of the Currency and Foreign Transactions Reporting Act of 1970, as amended, the applicable anti-money laundering statutes of all applicable jurisdictions, the rules and regulations thereunder and any related or similar applicable rules, regulations or guidelines, issued, administered or enforced by any governmental agency (collectively, the “</w:t>
      </w:r>
      <w:r>
        <w:rPr>
          <w:rFonts w:ascii="Times New Roman" w:cs="Times New Roman" w:eastAsia="Times New Roman" w:hAnsi="Times New Roman"/>
          <w:sz w:val="13"/>
          <w:szCs w:val="13"/>
          <w:b w:val="1"/>
          <w:bCs w:val="1"/>
          <w:color w:val="auto"/>
        </w:rPr>
        <w:t>Anti-Money Laundering Laws</w:t>
      </w:r>
      <w:r>
        <w:rPr>
          <w:rFonts w:ascii="Times New Roman" w:cs="Times New Roman" w:eastAsia="Times New Roman" w:hAnsi="Times New Roman"/>
          <w:sz w:val="13"/>
          <w:szCs w:val="13"/>
          <w:color w:val="auto"/>
        </w:rPr>
        <w:t>”) and no action, suit or proceeding by or before any court or governmental agency, authority or body or any arbitrator involving the Company or any of its subsidiaries with respect to the Anti-Money Laundering Laws is pending or, to the best knowledge of the Company, threatened.</w:t>
      </w:r>
    </w:p>
    <w:p>
      <w:pPr>
        <w:spacing w:after="0" w:line="134" w:lineRule="exact"/>
        <w:rPr>
          <w:rFonts w:ascii="Times New Roman" w:cs="Times New Roman" w:eastAsia="Times New Roman" w:hAnsi="Times New Roman"/>
          <w:sz w:val="13"/>
          <w:szCs w:val="13"/>
          <w:color w:val="auto"/>
        </w:rPr>
      </w:pPr>
    </w:p>
    <w:p>
      <w:pPr>
        <w:ind w:left="400" w:right="439" w:firstLine="321"/>
        <w:spacing w:after="0" w:line="262" w:lineRule="auto"/>
        <w:tabs>
          <w:tab w:leader="none" w:pos="986" w:val="left"/>
        </w:tabs>
        <w:numPr>
          <w:ilvl w:val="1"/>
          <w:numId w:val="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Sanctions.</w:t>
      </w:r>
      <w:r>
        <w:rPr>
          <w:rFonts w:ascii="Times New Roman" w:cs="Times New Roman" w:eastAsia="Times New Roman" w:hAnsi="Times New Roman"/>
          <w:sz w:val="13"/>
          <w:szCs w:val="13"/>
          <w:color w:val="auto"/>
        </w:rPr>
        <w:t xml:space="preserve"> Neither the Company nor any of its subsidiaries nor, to the knowledge of the Company, after due inquiry, any of its directors, officers, employees, agents, Affiliates or other persons acting on behalf of the Company or any of its subsidiaries is currently the subject or the target of any U.S. sanctions administered by the Office of Foreign Assets Control of the U.S. Department of the Treasury or the U.S. Department of State, the United Nations Security Council, the European Union, His Majesty’s Treasury of the United Kingdom, or other relevant sanctions authority (collectively, “</w:t>
      </w:r>
      <w:r>
        <w:rPr>
          <w:rFonts w:ascii="Times New Roman" w:cs="Times New Roman" w:eastAsia="Times New Roman" w:hAnsi="Times New Roman"/>
          <w:sz w:val="13"/>
          <w:szCs w:val="13"/>
          <w:b w:val="1"/>
          <w:bCs w:val="1"/>
          <w:color w:val="auto"/>
        </w:rPr>
        <w:t>Sanctions</w:t>
      </w:r>
      <w:r>
        <w:rPr>
          <w:rFonts w:ascii="Times New Roman" w:cs="Times New Roman" w:eastAsia="Times New Roman" w:hAnsi="Times New Roman"/>
          <w:sz w:val="13"/>
          <w:szCs w:val="13"/>
          <w:color w:val="auto"/>
        </w:rPr>
        <w:t>”); nor is the Company or any of its subsidiaries located, organized or resident in a country or territory that is the subject or the target of Sanctions, including, without limitation, Crimea, Cuba, Iran, North Korea, and Syria (collectively, “</w:t>
      </w:r>
      <w:r>
        <w:rPr>
          <w:rFonts w:ascii="Times New Roman" w:cs="Times New Roman" w:eastAsia="Times New Roman" w:hAnsi="Times New Roman"/>
          <w:sz w:val="13"/>
          <w:szCs w:val="13"/>
          <w:b w:val="1"/>
          <w:bCs w:val="1"/>
          <w:color w:val="auto"/>
        </w:rPr>
        <w:t>Sanctioned Countries</w:t>
      </w:r>
      <w:r>
        <w:rPr>
          <w:rFonts w:ascii="Times New Roman" w:cs="Times New Roman" w:eastAsia="Times New Roman" w:hAnsi="Times New Roman"/>
          <w:sz w:val="13"/>
          <w:szCs w:val="13"/>
          <w:color w:val="auto"/>
        </w:rPr>
        <w:t>,” and each such country, a “</w:t>
      </w:r>
      <w:r>
        <w:rPr>
          <w:rFonts w:ascii="Times New Roman" w:cs="Times New Roman" w:eastAsia="Times New Roman" w:hAnsi="Times New Roman"/>
          <w:sz w:val="13"/>
          <w:szCs w:val="13"/>
          <w:b w:val="1"/>
          <w:bCs w:val="1"/>
          <w:color w:val="auto"/>
        </w:rPr>
        <w:t>Sanctioned Country</w:t>
      </w:r>
      <w:r>
        <w:rPr>
          <w:rFonts w:ascii="Times New Roman" w:cs="Times New Roman" w:eastAsia="Times New Roman" w:hAnsi="Times New Roman"/>
          <w:sz w:val="13"/>
          <w:szCs w:val="13"/>
          <w:color w:val="auto"/>
        </w:rPr>
        <w:t>”); and the Company will not directly or indirectly use the proceeds of this offering, or lend, contribute or otherwise make available such proceeds to any subsidiary, or any joint venture partner or other person or entity, for the purpose of financing the activities of or business with any person, or in any country or territory, that at the time of such financing, is the subject or the target of Sanctions or in any other manner that will result in a violation by any person (including any person participating in the transaction whether as underwriter, advisor, investor or otherwise) of applicable Sanctions. For the past ten years, the Company and its subsidiaries have not knowingly engaged in and are not now knowingly engaged in any dealings or transactions with any person that at the time of the dealing or transaction is or was the subject or the target of Sanctions or with any Sanctioned Country.</w:t>
      </w:r>
    </w:p>
    <w:p>
      <w:pPr>
        <w:spacing w:after="0" w:line="299" w:lineRule="exact"/>
        <w:rPr>
          <w:rFonts w:ascii="Times New Roman" w:cs="Times New Roman" w:eastAsia="Times New Roman" w:hAnsi="Times New Roman"/>
          <w:sz w:val="13"/>
          <w:szCs w:val="13"/>
          <w:color w:val="auto"/>
        </w:rPr>
      </w:pPr>
    </w:p>
    <w:p>
      <w:pPr>
        <w:ind w:left="400" w:right="599" w:firstLine="321"/>
        <w:spacing w:after="0" w:line="297" w:lineRule="auto"/>
        <w:tabs>
          <w:tab w:leader="none" w:pos="986" w:val="left"/>
        </w:tabs>
        <w:numPr>
          <w:ilvl w:val="1"/>
          <w:numId w:val="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Sarbanes-Oxley</w:t>
      </w:r>
      <w:r>
        <w:rPr>
          <w:rFonts w:ascii="Times New Roman" w:cs="Times New Roman" w:eastAsia="Times New Roman" w:hAnsi="Times New Roman"/>
          <w:sz w:val="13"/>
          <w:szCs w:val="13"/>
          <w:color w:val="auto"/>
        </w:rPr>
        <w:t>. The Company is in compliance, in all material respects, with all applicable provisions of the Sarbanes-Oxley Act of 2002 and the rules and regulations promulgated thereunder.</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15</w:t>
      </w:r>
    </w:p>
    <w:p>
      <w:pPr>
        <w:sectPr>
          <w:pgSz w:w="11900" w:h="16838" w:orient="portrait"/>
          <w:cols w:equalWidth="0" w:num="1">
            <w:col w:w="9019"/>
          </w:cols>
          <w:pgMar w:left="1440" w:top="238" w:right="1440" w:bottom="1440" w:gutter="0" w:footer="0" w:header="0"/>
        </w:sectPr>
      </w:pPr>
    </w:p>
    <w:bookmarkStart w:id="120" w:name="page121"/>
    <w:bookmarkEnd w:id="120"/>
    <w:p>
      <w:pPr>
        <w:jc w:val="both"/>
        <w:ind w:left="400" w:right="399" w:firstLine="321"/>
        <w:spacing w:after="0" w:line="278" w:lineRule="auto"/>
        <w:tabs>
          <w:tab w:leader="none" w:pos="986" w:val="left"/>
        </w:tabs>
        <w:numPr>
          <w:ilvl w:val="0"/>
          <w:numId w:val="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5">
                      <a:extLst>
                        <a:ext uri="{28A0092B-C50C-407E-A947-70E740481C1C}"/>
                      </a:extLst>
                    </a:blip>
                    <a:srcRect/>
                    <a:stretch>
                      <a:fillRect/>
                    </a:stretch>
                  </pic:blipFill>
                  <pic:spPr bwMode="auto">
                    <a:xfrm>
                      <a:off x="0" y="0"/>
                      <a:ext cx="7205345" cy="31750"/>
                    </a:xfrm>
                    <a:prstGeom prst="rect">
                      <a:avLst/>
                    </a:prstGeom>
                    <a:noFill/>
                  </pic:spPr>
                </pic:pic>
              </a:graphicData>
            </a:graphic>
          </wp:anchor>
        </w:drawing>
        <w:t>Duties, Transfer Taxes, Etc</w:t>
      </w:r>
      <w:r>
        <w:rPr>
          <w:rFonts w:ascii="Times New Roman" w:cs="Times New Roman" w:eastAsia="Times New Roman" w:hAnsi="Times New Roman"/>
          <w:sz w:val="13"/>
          <w:szCs w:val="13"/>
          <w:color w:val="auto"/>
        </w:rPr>
        <w:t>. No stamp or other issuance or transfer taxes or duties and no capital gains, income, withholding or other taxes are payable by the Agent in the United States or any political subdivision or taxing authority thereof or therein in connection with the execution, delivery or performance of this Agreement by the Company or the sale and delivery by the Company of the Shares.</w:t>
      </w:r>
    </w:p>
    <w:p>
      <w:pPr>
        <w:spacing w:after="0" w:line="125" w:lineRule="exact"/>
        <w:rPr>
          <w:rFonts w:ascii="Times New Roman" w:cs="Times New Roman" w:eastAsia="Times New Roman" w:hAnsi="Times New Roman"/>
          <w:sz w:val="13"/>
          <w:szCs w:val="13"/>
          <w:color w:val="auto"/>
        </w:rPr>
      </w:pPr>
    </w:p>
    <w:p>
      <w:pPr>
        <w:ind w:left="400" w:right="459" w:firstLine="321"/>
        <w:spacing w:after="0" w:line="261" w:lineRule="auto"/>
        <w:tabs>
          <w:tab w:leader="none" w:pos="986" w:val="left"/>
        </w:tabs>
        <w:numPr>
          <w:ilvl w:val="0"/>
          <w:numId w:val="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Cybersecurity</w:t>
      </w:r>
      <w:r>
        <w:rPr>
          <w:rFonts w:ascii="Times New Roman" w:cs="Times New Roman" w:eastAsia="Times New Roman" w:hAnsi="Times New Roman"/>
          <w:sz w:val="13"/>
          <w:szCs w:val="13"/>
          <w:color w:val="auto"/>
        </w:rPr>
        <w:t>. The Company and its subsidiaries’ information technology assets and equipment, computers, systems, networks, hardware, software, websites, applications, and databases (collectively, “</w:t>
      </w:r>
      <w:r>
        <w:rPr>
          <w:rFonts w:ascii="Times New Roman" w:cs="Times New Roman" w:eastAsia="Times New Roman" w:hAnsi="Times New Roman"/>
          <w:sz w:val="13"/>
          <w:szCs w:val="13"/>
          <w:b w:val="1"/>
          <w:bCs w:val="1"/>
          <w:color w:val="auto"/>
        </w:rPr>
        <w:t>IT Systems</w:t>
      </w:r>
      <w:r>
        <w:rPr>
          <w:rFonts w:ascii="Times New Roman" w:cs="Times New Roman" w:eastAsia="Times New Roman" w:hAnsi="Times New Roman"/>
          <w:sz w:val="13"/>
          <w:szCs w:val="13"/>
          <w:color w:val="auto"/>
        </w:rPr>
        <w:t>”) are adequate for, and operate and perform in all material respects as required in connection with the operation of the business of the Company and its subsidiaries as currently conducted, and to the knowledge of the Company are free and clear of all material bugs, errors, defects, Trojan horses, time bombs, malware and other corruptants. The Company and its subsidiaries have implemented and maintained commercially reasonable physical, technical and administrative controls, policies, procedures, and safeguards to maintain and protect their material confidential information and the integrity, continuous operation, redundancy and security of all IT Systems and data, including “Personal Data,” used in connection with their businesses. “</w:t>
      </w:r>
      <w:r>
        <w:rPr>
          <w:rFonts w:ascii="Times New Roman" w:cs="Times New Roman" w:eastAsia="Times New Roman" w:hAnsi="Times New Roman"/>
          <w:sz w:val="13"/>
          <w:szCs w:val="13"/>
          <w:b w:val="1"/>
          <w:bCs w:val="1"/>
          <w:color w:val="auto"/>
        </w:rPr>
        <w:t>Personal Data</w:t>
      </w:r>
      <w:r>
        <w:rPr>
          <w:rFonts w:ascii="Times New Roman" w:cs="Times New Roman" w:eastAsia="Times New Roman" w:hAnsi="Times New Roman"/>
          <w:sz w:val="13"/>
          <w:szCs w:val="13"/>
          <w:color w:val="auto"/>
        </w:rPr>
        <w:t>” means (i) a natural person’s name, street address, telephone number, e-mail address, photograph, social security number or tax identification number, driver’s license number, passport number, credit card number, bank information, or customer or account number; (ii) any information which would qualify as “personally identifying information” under the Federal Trade Commission Act, as amended; (iii) “personal data” as defined by GDPR (as defined below); and (iv) any other piece of information that allows the identification of such natural person, or his or her family, or permits the collection or analysis of any data related to an identified person’s health or sexual orientation. To the Company’s knowledge, there have been no breaches, violations, outages or unauthorized uses of or accesses to same, except for those that have been remedied without material cost or liability or the duty to notify any other person, nor any incidents under internal review or investigations relating to the same. The Company and its subsidiaries are presently in material compliance with all applicable laws or statutes and all judgments, orders, rules and regulations of any court or arbitrator or governmental or regulatory authority, internal policies and contractual obligations relating to the privacy and security of IT Systems and Personal Data and to the protection of such IT Systems and Personal Data from unauthorized use, access, misappropriation or modification.</w:t>
      </w:r>
    </w:p>
    <w:p>
      <w:pPr>
        <w:spacing w:after="0" w:line="301" w:lineRule="exact"/>
        <w:rPr>
          <w:rFonts w:ascii="Times New Roman" w:cs="Times New Roman" w:eastAsia="Times New Roman" w:hAnsi="Times New Roman"/>
          <w:sz w:val="13"/>
          <w:szCs w:val="13"/>
          <w:color w:val="auto"/>
        </w:rPr>
      </w:pPr>
    </w:p>
    <w:p>
      <w:pPr>
        <w:ind w:left="400" w:right="439" w:firstLine="321"/>
        <w:spacing w:after="0" w:line="262" w:lineRule="auto"/>
        <w:tabs>
          <w:tab w:leader="none" w:pos="941" w:val="left"/>
        </w:tabs>
        <w:numPr>
          <w:ilvl w:val="0"/>
          <w:numId w:val="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Compliance with Data Privacy Laws</w:t>
      </w:r>
      <w:r>
        <w:rPr>
          <w:rFonts w:ascii="Times New Roman" w:cs="Times New Roman" w:eastAsia="Times New Roman" w:hAnsi="Times New Roman"/>
          <w:sz w:val="13"/>
          <w:szCs w:val="13"/>
          <w:color w:val="auto"/>
        </w:rPr>
        <w:t>. The Company and its subsidiaries are in material compliance with all applicable state and federal data privacy and security laws and regulations, and the Company and its subsidiaries have taken commercially reasonable actions to prepare to comply with, and since May 25, 2018, have been and currently are in compliance with, the European Union General Data Protection Regulation (“GDPR”) (EU 2016/679) (collectively, the “</w:t>
      </w:r>
      <w:r>
        <w:rPr>
          <w:rFonts w:ascii="Times New Roman" w:cs="Times New Roman" w:eastAsia="Times New Roman" w:hAnsi="Times New Roman"/>
          <w:sz w:val="13"/>
          <w:szCs w:val="13"/>
          <w:b w:val="1"/>
          <w:bCs w:val="1"/>
          <w:color w:val="auto"/>
        </w:rPr>
        <w:t>Privacy Laws</w:t>
      </w:r>
      <w:r>
        <w:rPr>
          <w:rFonts w:ascii="Times New Roman" w:cs="Times New Roman" w:eastAsia="Times New Roman" w:hAnsi="Times New Roman"/>
          <w:sz w:val="13"/>
          <w:szCs w:val="13"/>
          <w:color w:val="auto"/>
        </w:rPr>
        <w:t>”). To ensure compliance with the Privacy Laws, the Company and its subsidiaries have in place, comply with, and take appropriate steps reasonably designed to ensure compliance in all material respects with their policies and procedures relating to data privacy and security and the collection, storage, use, disclosure, handling, and analysis of Personal Data (the “</w:t>
      </w:r>
      <w:r>
        <w:rPr>
          <w:rFonts w:ascii="Times New Roman" w:cs="Times New Roman" w:eastAsia="Times New Roman" w:hAnsi="Times New Roman"/>
          <w:sz w:val="13"/>
          <w:szCs w:val="13"/>
          <w:b w:val="1"/>
          <w:bCs w:val="1"/>
          <w:color w:val="auto"/>
        </w:rPr>
        <w:t>Policies</w:t>
      </w:r>
      <w:r>
        <w:rPr>
          <w:rFonts w:ascii="Times New Roman" w:cs="Times New Roman" w:eastAsia="Times New Roman" w:hAnsi="Times New Roman"/>
          <w:sz w:val="13"/>
          <w:szCs w:val="13"/>
          <w:color w:val="auto"/>
        </w:rPr>
        <w:t>”). The Company and its subsidiaries have at all times made all disclosures to users or customers required by applicable laws and regulatory rules or requirements, and none of such disclosures made or contained in any Policy have, to the knowledge of the Company, been inaccurate or in violation of any applicable laws and regulatory rules or requirements in any material respect. The Company further certifies that neither it nor any subsidiary: (i) has received notice of any actual or potential liability under or relating to, or actual or potential violation of, any of the Privacy Laws, and has no knowledge of any event or condition that would reasonably be expected to result in any such notice; (ii) is currently conducting or paying for, in whole or in part, any investigation, remediation, or other corrective action pursuant to any Privacy Law; or (iii) is a party to any order, decree, or agreement that imposes any obligation or liability under any Privacy Law.</w:t>
      </w: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16</w:t>
      </w:r>
    </w:p>
    <w:p>
      <w:pPr>
        <w:sectPr>
          <w:pgSz w:w="11900" w:h="16838" w:orient="portrait"/>
          <w:cols w:equalWidth="0" w:num="1">
            <w:col w:w="9019"/>
          </w:cols>
          <w:pgMar w:left="1440" w:top="238" w:right="1440" w:bottom="1440" w:gutter="0" w:footer="0" w:header="0"/>
        </w:sectPr>
      </w:pPr>
    </w:p>
    <w:bookmarkStart w:id="121" w:name="page122"/>
    <w:bookmarkEnd w:id="121"/>
    <w:p>
      <w:pPr>
        <w:ind w:left="400" w:right="519" w:firstLine="321"/>
        <w:spacing w:after="0" w:line="297" w:lineRule="auto"/>
        <w:tabs>
          <w:tab w:leader="none" w:pos="956" w:val="left"/>
        </w:tabs>
        <w:numPr>
          <w:ilvl w:val="0"/>
          <w:numId w:val="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6">
                      <a:extLst>
                        <a:ext uri="{28A0092B-C50C-407E-A947-70E740481C1C}"/>
                      </a:extLst>
                    </a:blip>
                    <a:srcRect/>
                    <a:stretch>
                      <a:fillRect/>
                    </a:stretch>
                  </pic:blipFill>
                  <pic:spPr bwMode="auto">
                    <a:xfrm>
                      <a:off x="0" y="0"/>
                      <a:ext cx="7205345" cy="31750"/>
                    </a:xfrm>
                    <a:prstGeom prst="rect">
                      <a:avLst/>
                    </a:prstGeom>
                    <a:noFill/>
                  </pic:spPr>
                </pic:pic>
              </a:graphicData>
            </a:graphic>
          </wp:anchor>
        </w:drawing>
        <w:t>Other Underwriting Agreements</w:t>
      </w:r>
      <w:r>
        <w:rPr>
          <w:rFonts w:ascii="Times New Roman" w:cs="Times New Roman" w:eastAsia="Times New Roman" w:hAnsi="Times New Roman"/>
          <w:sz w:val="13"/>
          <w:szCs w:val="13"/>
          <w:color w:val="auto"/>
        </w:rPr>
        <w:t>. The Company is not a party to any agreement with an agent or underwriter for any other “at the market” or continuous equity transaction.</w:t>
      </w:r>
    </w:p>
    <w:p>
      <w:pPr>
        <w:spacing w:after="0" w:line="114" w:lineRule="exact"/>
        <w:rPr>
          <w:sz w:val="20"/>
          <w:szCs w:val="20"/>
          <w:color w:val="auto"/>
        </w:rPr>
      </w:pPr>
    </w:p>
    <w:p>
      <w:pPr>
        <w:ind w:left="400" w:right="559" w:firstLine="329"/>
        <w:spacing w:after="0" w:line="278" w:lineRule="auto"/>
        <w:rPr>
          <w:sz w:val="20"/>
          <w:szCs w:val="20"/>
          <w:color w:val="auto"/>
        </w:rPr>
      </w:pPr>
      <w:r>
        <w:rPr>
          <w:rFonts w:ascii="Times New Roman" w:cs="Times New Roman" w:eastAsia="Times New Roman" w:hAnsi="Times New Roman"/>
          <w:sz w:val="13"/>
          <w:szCs w:val="13"/>
          <w:color w:val="auto"/>
        </w:rPr>
        <w:t>Any certificate signed by any officer or representative of the Company or any of its subsidiaries and delivered to the Agent or counsel for the Agent in connection with an issuance of Shares shall be deemed a representation and warranty by the Company to the Agent as to the matters covered thereby on the date of such certificate.</w:t>
      </w:r>
    </w:p>
    <w:p>
      <w:pPr>
        <w:spacing w:after="0" w:line="125" w:lineRule="exact"/>
        <w:rPr>
          <w:sz w:val="20"/>
          <w:szCs w:val="20"/>
          <w:color w:val="auto"/>
        </w:rPr>
      </w:pPr>
    </w:p>
    <w:p>
      <w:pPr>
        <w:ind w:left="400" w:right="539" w:firstLine="329"/>
        <w:spacing w:after="0" w:line="297" w:lineRule="auto"/>
        <w:rPr>
          <w:sz w:val="20"/>
          <w:szCs w:val="20"/>
          <w:color w:val="auto"/>
        </w:rPr>
      </w:pPr>
      <w:r>
        <w:rPr>
          <w:rFonts w:ascii="Times New Roman" w:cs="Times New Roman" w:eastAsia="Times New Roman" w:hAnsi="Times New Roman"/>
          <w:sz w:val="13"/>
          <w:szCs w:val="13"/>
          <w:color w:val="auto"/>
        </w:rPr>
        <w:t xml:space="preserve">The Company acknowledges that the Agent and, for purposes of the opinions to be delivered pursuant to </w:t>
      </w:r>
      <w:r>
        <w:rPr>
          <w:rFonts w:ascii="Times New Roman" w:cs="Times New Roman" w:eastAsia="Times New Roman" w:hAnsi="Times New Roman"/>
          <w:sz w:val="13"/>
          <w:szCs w:val="13"/>
          <w:u w:val="single" w:color="auto"/>
          <w:color w:val="auto"/>
        </w:rPr>
        <w:t>Section 4(p)</w:t>
      </w:r>
      <w:r>
        <w:rPr>
          <w:rFonts w:ascii="Times New Roman" w:cs="Times New Roman" w:eastAsia="Times New Roman" w:hAnsi="Times New Roman"/>
          <w:sz w:val="13"/>
          <w:szCs w:val="13"/>
          <w:color w:val="auto"/>
        </w:rPr>
        <w:t xml:space="preserve"> hereof, counsel to the Company and counsel to the Agent, will rely upon the accuracy and truthfulness of the foregoing representations and hereby consents to such reliance.</w:t>
      </w:r>
    </w:p>
    <w:p>
      <w:pPr>
        <w:spacing w:after="0" w:line="19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3"/>
          <w:szCs w:val="13"/>
          <w:b w:val="1"/>
          <w:bCs w:val="1"/>
          <w:color w:val="auto"/>
        </w:rPr>
        <w:t>Section 3. ISSUANCE AND SALE OF COMMON SHARES</w:t>
      </w:r>
    </w:p>
    <w:p>
      <w:pPr>
        <w:spacing w:after="0" w:line="96" w:lineRule="exact"/>
        <w:rPr>
          <w:sz w:val="20"/>
          <w:szCs w:val="20"/>
          <w:color w:val="auto"/>
        </w:rPr>
      </w:pPr>
    </w:p>
    <w:p>
      <w:pPr>
        <w:ind w:left="400" w:right="459" w:firstLine="321"/>
        <w:spacing w:after="0" w:line="271" w:lineRule="auto"/>
        <w:tabs>
          <w:tab w:leader="none" w:pos="911" w:val="left"/>
        </w:tabs>
        <w:numPr>
          <w:ilvl w:val="0"/>
          <w:numId w:val="6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Sale of Securities</w:t>
      </w:r>
      <w:r>
        <w:rPr>
          <w:rFonts w:ascii="Times New Roman" w:cs="Times New Roman" w:eastAsia="Times New Roman" w:hAnsi="Times New Roman"/>
          <w:sz w:val="13"/>
          <w:szCs w:val="13"/>
          <w:color w:val="auto"/>
        </w:rPr>
        <w:t>. On the basis of the representations, warranties and agreements herein contained, but subject to the terms and conditions herein set forth, the Company and the Agent agree that the Company may from time to time seek to sell Shares through the Agent, acting as sales agent, or directly to the Agent, acting as principal, as follows, with an aggregate Sales Price of up to the Maximum Program Amount, based on and in accordance with Issuance Notices as the Company may deliver, during the Agency Period.</w:t>
      </w:r>
    </w:p>
    <w:p>
      <w:pPr>
        <w:spacing w:after="0" w:line="131" w:lineRule="exact"/>
        <w:rPr>
          <w:rFonts w:ascii="Times New Roman" w:cs="Times New Roman" w:eastAsia="Times New Roman" w:hAnsi="Times New Roman"/>
          <w:sz w:val="13"/>
          <w:szCs w:val="13"/>
          <w:color w:val="auto"/>
        </w:rPr>
      </w:pPr>
    </w:p>
    <w:p>
      <w:pPr>
        <w:ind w:left="920" w:hanging="199"/>
        <w:spacing w:after="0"/>
        <w:tabs>
          <w:tab w:leader="none" w:pos="920" w:val="left"/>
        </w:tabs>
        <w:numPr>
          <w:ilvl w:val="0"/>
          <w:numId w:val="6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Mechanics of Issuances</w:t>
      </w:r>
      <w:r>
        <w:rPr>
          <w:rFonts w:ascii="Times New Roman" w:cs="Times New Roman" w:eastAsia="Times New Roman" w:hAnsi="Times New Roman"/>
          <w:sz w:val="13"/>
          <w:szCs w:val="13"/>
          <w:color w:val="auto"/>
        </w:rPr>
        <w:t>.</w:t>
      </w:r>
    </w:p>
    <w:p>
      <w:pPr>
        <w:spacing w:after="0" w:line="173" w:lineRule="exact"/>
        <w:rPr>
          <w:sz w:val="20"/>
          <w:szCs w:val="20"/>
          <w:color w:val="auto"/>
        </w:rPr>
      </w:pPr>
    </w:p>
    <w:p>
      <w:pPr>
        <w:ind w:left="400" w:right="519" w:firstLine="321"/>
        <w:spacing w:after="0" w:line="264" w:lineRule="auto"/>
        <w:tabs>
          <w:tab w:leader="none" w:pos="889" w:val="left"/>
        </w:tabs>
        <w:numPr>
          <w:ilvl w:val="0"/>
          <w:numId w:val="6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Issuance Notice</w:t>
      </w:r>
      <w:r>
        <w:rPr>
          <w:rFonts w:ascii="Times New Roman" w:cs="Times New Roman" w:eastAsia="Times New Roman" w:hAnsi="Times New Roman"/>
          <w:sz w:val="13"/>
          <w:szCs w:val="13"/>
          <w:color w:val="auto"/>
        </w:rPr>
        <w:t xml:space="preserve">. Upon the terms and subject to the conditions set forth herein, on any Trading Day during the Agency Period on which the conditions set forth in </w:t>
      </w:r>
      <w:r>
        <w:rPr>
          <w:rFonts w:ascii="Times New Roman" w:cs="Times New Roman" w:eastAsia="Times New Roman" w:hAnsi="Times New Roman"/>
          <w:sz w:val="13"/>
          <w:szCs w:val="13"/>
          <w:u w:val="single" w:color="auto"/>
          <w:color w:val="auto"/>
        </w:rPr>
        <w:t>Section 5(a)</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Section 5(b)</w:t>
      </w:r>
      <w:r>
        <w:rPr>
          <w:rFonts w:ascii="Times New Roman" w:cs="Times New Roman" w:eastAsia="Times New Roman" w:hAnsi="Times New Roman"/>
          <w:sz w:val="13"/>
          <w:szCs w:val="13"/>
          <w:color w:val="auto"/>
        </w:rPr>
        <w:t xml:space="preserve"> shall have been satisfied, the Company may exercise its right to request an issuance of Shares by delivering to the Agent an Issuance Notice; </w:t>
      </w:r>
      <w:r>
        <w:rPr>
          <w:rFonts w:ascii="Times New Roman" w:cs="Times New Roman" w:eastAsia="Times New Roman" w:hAnsi="Times New Roman"/>
          <w:sz w:val="13"/>
          <w:szCs w:val="13"/>
          <w:i w:val="1"/>
          <w:iCs w:val="1"/>
          <w:color w:val="auto"/>
        </w:rPr>
        <w:t>provided, however</w:t>
      </w:r>
      <w:r>
        <w:rPr>
          <w:rFonts w:ascii="Times New Roman" w:cs="Times New Roman" w:eastAsia="Times New Roman" w:hAnsi="Times New Roman"/>
          <w:sz w:val="13"/>
          <w:szCs w:val="13"/>
          <w:color w:val="auto"/>
        </w:rPr>
        <w:t>, that (A) in no event may the Company deliver an Issuance Notice to the extent that the sum of (x) the aggregate Sales Price of the requested Issuance Amount, plus (y) the aggregate Sales Price of all Shares issued under all previous Issuance Notices effected pursuant to this Agreement, would exceed the Maximum Program Amount; and (B) prior to delivery of any Issuance Notice, the period set forth for any previous Issuance Notice shall have expired or been terminated. An Issuance Notice shall be considered delivered on the Trading Day that it is received by e-mail to the persons set forth in Schedule A hereto and confirmed by the Company by telephone (including a voicemail message to the persons so identified), with the understanding that, with adequate prior written notice, the Agent may modify the list of such persons from time to time.</w:t>
      </w: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17</w:t>
      </w:r>
    </w:p>
    <w:p>
      <w:pPr>
        <w:sectPr>
          <w:pgSz w:w="11900" w:h="16838" w:orient="portrait"/>
          <w:cols w:equalWidth="0" w:num="1">
            <w:col w:w="9019"/>
          </w:cols>
          <w:pgMar w:left="1440" w:top="238" w:right="1440" w:bottom="1440" w:gutter="0" w:footer="0" w:header="0"/>
        </w:sectPr>
      </w:pPr>
    </w:p>
    <w:bookmarkStart w:id="122" w:name="page123"/>
    <w:bookmarkEnd w:id="122"/>
    <w:p>
      <w:pPr>
        <w:ind w:left="400" w:right="419" w:firstLine="321"/>
        <w:spacing w:after="0" w:line="268" w:lineRule="auto"/>
        <w:tabs>
          <w:tab w:leader="none" w:pos="926" w:val="left"/>
        </w:tabs>
        <w:numPr>
          <w:ilvl w:val="1"/>
          <w:numId w:val="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7">
                      <a:extLst>
                        <a:ext uri="{28A0092B-C50C-407E-A947-70E740481C1C}"/>
                      </a:extLst>
                    </a:blip>
                    <a:srcRect/>
                    <a:stretch>
                      <a:fillRect/>
                    </a:stretch>
                  </pic:blipFill>
                  <pic:spPr bwMode="auto">
                    <a:xfrm>
                      <a:off x="0" y="0"/>
                      <a:ext cx="7205345" cy="31750"/>
                    </a:xfrm>
                    <a:prstGeom prst="rect">
                      <a:avLst/>
                    </a:prstGeom>
                    <a:noFill/>
                  </pic:spPr>
                </pic:pic>
              </a:graphicData>
            </a:graphic>
          </wp:anchor>
        </w:drawing>
        <w:t>Agent Efforts</w:t>
      </w:r>
      <w:r>
        <w:rPr>
          <w:rFonts w:ascii="Times New Roman" w:cs="Times New Roman" w:eastAsia="Times New Roman" w:hAnsi="Times New Roman"/>
          <w:sz w:val="13"/>
          <w:szCs w:val="13"/>
          <w:color w:val="auto"/>
        </w:rPr>
        <w:t>. Upon the terms and subject to the conditions set forth in this Agreement, upon the receipt of an Issuance Notice, the Agent will use its commercially reasonable efforts consistent with its normal sales and trading practices to place the Shares with respect to which the Agent has agreed to act as sales agent, subject to, and in accordance with the information specified in, the Issuance Notice, unless the sale of the Shares described therein has been suspended, cancelled or otherwise terminated in accordance with the terms of this Agreement. For the avoidance of doubt, the parties to this Agreement may modify an Issuance Notice at any time provided they both agree in writing to any such modification.</w:t>
      </w:r>
    </w:p>
    <w:p>
      <w:pPr>
        <w:spacing w:after="0" w:line="132" w:lineRule="exact"/>
        <w:rPr>
          <w:rFonts w:ascii="Times New Roman" w:cs="Times New Roman" w:eastAsia="Times New Roman" w:hAnsi="Times New Roman"/>
          <w:sz w:val="13"/>
          <w:szCs w:val="13"/>
          <w:color w:val="auto"/>
        </w:rPr>
      </w:pPr>
    </w:p>
    <w:p>
      <w:pPr>
        <w:ind w:left="960" w:hanging="239"/>
        <w:spacing w:after="0"/>
        <w:tabs>
          <w:tab w:leader="none" w:pos="960" w:val="left"/>
        </w:tabs>
        <w:numPr>
          <w:ilvl w:val="1"/>
          <w:numId w:val="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Method of Offer and Sale</w:t>
      </w:r>
      <w:r>
        <w:rPr>
          <w:rFonts w:ascii="Times New Roman" w:cs="Times New Roman" w:eastAsia="Times New Roman" w:hAnsi="Times New Roman"/>
          <w:sz w:val="13"/>
          <w:szCs w:val="13"/>
          <w:color w:val="auto"/>
        </w:rPr>
        <w:t>. The Shares may be offered and sold (A) in privately negotiated transactions with the consent of the Company;</w:t>
      </w:r>
    </w:p>
    <w:p>
      <w:pPr>
        <w:spacing w:after="0" w:line="24" w:lineRule="exact"/>
        <w:rPr>
          <w:rFonts w:ascii="Times New Roman" w:cs="Times New Roman" w:eastAsia="Times New Roman" w:hAnsi="Times New Roman"/>
          <w:sz w:val="13"/>
          <w:szCs w:val="13"/>
          <w:color w:val="auto"/>
        </w:rPr>
      </w:pPr>
    </w:p>
    <w:p>
      <w:pPr>
        <w:ind w:left="400" w:right="499" w:hanging="8"/>
        <w:spacing w:after="0" w:line="265" w:lineRule="auto"/>
        <w:tabs>
          <w:tab w:leader="none" w:pos="613" w:val="left"/>
        </w:tabs>
        <w:numPr>
          <w:ilvl w:val="0"/>
          <w:numId w:val="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 block transactions; or (C) by any other method permitted by law deemed to be an “at the market offering” as defined in Rule 415(a)(4) under the Securities Act, including sales made directly on the Principal Market or sales made into any other existing trading market of the Common Shares. Nothing in this Agreement shall be deemed to require either party to agree to the method of offer and sale specified in the preceding sentence, and (except as specified in clauses (A) and (B) above) the method of placement of any Shares by the Agent shall be at the Agent’s discretion.</w:t>
      </w:r>
    </w:p>
    <w:p>
      <w:pPr>
        <w:spacing w:after="0" w:line="133" w:lineRule="exact"/>
        <w:rPr>
          <w:rFonts w:ascii="Times New Roman" w:cs="Times New Roman" w:eastAsia="Times New Roman" w:hAnsi="Times New Roman"/>
          <w:sz w:val="13"/>
          <w:szCs w:val="13"/>
          <w:color w:val="auto"/>
        </w:rPr>
      </w:pPr>
    </w:p>
    <w:p>
      <w:pPr>
        <w:jc w:val="both"/>
        <w:ind w:left="400" w:right="599" w:firstLine="321"/>
        <w:spacing w:after="0" w:line="278" w:lineRule="auto"/>
        <w:tabs>
          <w:tab w:leader="none" w:pos="956" w:val="left"/>
        </w:tabs>
        <w:numPr>
          <w:ilvl w:val="1"/>
          <w:numId w:val="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Confirmation to the Company</w:t>
      </w:r>
      <w:r>
        <w:rPr>
          <w:rFonts w:ascii="Times New Roman" w:cs="Times New Roman" w:eastAsia="Times New Roman" w:hAnsi="Times New Roman"/>
          <w:sz w:val="13"/>
          <w:szCs w:val="13"/>
          <w:color w:val="auto"/>
        </w:rPr>
        <w:t>. If acting as sales agent hereunder, the Agent will provide written confirmation to the Company no later than the opening of the Trading Day next following the Trading Day on which it has placed Shares hereunder setting forth the number of Common Shares sold on such Trading Day, the corresponding Sales Price and the Issuance Price payable to the Company in respect thereof.</w:t>
      </w:r>
    </w:p>
    <w:p>
      <w:pPr>
        <w:spacing w:after="0" w:line="125" w:lineRule="exact"/>
        <w:rPr>
          <w:rFonts w:ascii="Times New Roman" w:cs="Times New Roman" w:eastAsia="Times New Roman" w:hAnsi="Times New Roman"/>
          <w:sz w:val="13"/>
          <w:szCs w:val="13"/>
          <w:color w:val="auto"/>
        </w:rPr>
      </w:pPr>
    </w:p>
    <w:p>
      <w:pPr>
        <w:ind w:left="400" w:right="439" w:firstLine="321"/>
        <w:spacing w:after="0" w:line="265" w:lineRule="auto"/>
        <w:tabs>
          <w:tab w:leader="none" w:pos="919" w:val="left"/>
        </w:tabs>
        <w:numPr>
          <w:ilvl w:val="1"/>
          <w:numId w:val="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Settlement</w:t>
      </w:r>
      <w:r>
        <w:rPr>
          <w:rFonts w:ascii="Times New Roman" w:cs="Times New Roman" w:eastAsia="Times New Roman" w:hAnsi="Times New Roman"/>
          <w:sz w:val="13"/>
          <w:szCs w:val="13"/>
          <w:color w:val="auto"/>
        </w:rPr>
        <w:t xml:space="preserve">. Each issuance of Shares will be settled on the applicable Settlement Date for such issuance of Shares and, subject to the provisions of </w:t>
      </w:r>
      <w:r>
        <w:rPr>
          <w:rFonts w:ascii="Times New Roman" w:cs="Times New Roman" w:eastAsia="Times New Roman" w:hAnsi="Times New Roman"/>
          <w:sz w:val="13"/>
          <w:szCs w:val="13"/>
          <w:u w:val="single" w:color="auto"/>
          <w:color w:val="auto"/>
        </w:rPr>
        <w:t>Section 5</w:t>
      </w:r>
      <w:r>
        <w:rPr>
          <w:rFonts w:ascii="Times New Roman" w:cs="Times New Roman" w:eastAsia="Times New Roman" w:hAnsi="Times New Roman"/>
          <w:sz w:val="13"/>
          <w:szCs w:val="13"/>
          <w:color w:val="auto"/>
        </w:rPr>
        <w:t>, on or before each Settlement Date, the Company will, or will cause its transfer agent to, electronically transfer the Shares being sold by crediting the Agent or its designee’s account at The Depository Trust Company through its Deposit/Withdrawal At Custodian (DWAC) System, or by such other means of delivery as may be mutually agreed upon by the parties hereto and, upon receipt of such Shares, which in all cases shall be freely tradable, transferable, registered shares in good deliverable form, the Agent will deliver, by wire transfer of immediately available funds, the related Issuance Price in same day funds delivered to an account designated by the Company prior to the Settlement Date. The Company may sell Shares to the Agent as principal at a price agreed upon by the parties at each relevant time Shares are sold pursuant to this Agreement (each, a “</w:t>
      </w:r>
      <w:r>
        <w:rPr>
          <w:rFonts w:ascii="Times New Roman" w:cs="Times New Roman" w:eastAsia="Times New Roman" w:hAnsi="Times New Roman"/>
          <w:sz w:val="13"/>
          <w:szCs w:val="13"/>
          <w:b w:val="1"/>
          <w:bCs w:val="1"/>
          <w:color w:val="auto"/>
        </w:rPr>
        <w:t>Time of Sale</w:t>
      </w:r>
      <w:r>
        <w:rPr>
          <w:rFonts w:ascii="Times New Roman" w:cs="Times New Roman" w:eastAsia="Times New Roman" w:hAnsi="Times New Roman"/>
          <w:sz w:val="13"/>
          <w:szCs w:val="13"/>
          <w:color w:val="auto"/>
        </w:rPr>
        <w:t>”).</w:t>
      </w:r>
    </w:p>
    <w:p>
      <w:pPr>
        <w:spacing w:after="0" w:line="134" w:lineRule="exact"/>
        <w:rPr>
          <w:rFonts w:ascii="Times New Roman" w:cs="Times New Roman" w:eastAsia="Times New Roman" w:hAnsi="Times New Roman"/>
          <w:sz w:val="13"/>
          <w:szCs w:val="13"/>
          <w:color w:val="auto"/>
        </w:rPr>
      </w:pPr>
    </w:p>
    <w:p>
      <w:pPr>
        <w:ind w:left="400" w:right="419" w:firstLine="321"/>
        <w:spacing w:after="0" w:line="262" w:lineRule="auto"/>
        <w:tabs>
          <w:tab w:leader="none" w:pos="956" w:val="left"/>
        </w:tabs>
        <w:numPr>
          <w:ilvl w:val="1"/>
          <w:numId w:val="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Suspension or Termination of Sales</w:t>
      </w:r>
      <w:r>
        <w:rPr>
          <w:rFonts w:ascii="Times New Roman" w:cs="Times New Roman" w:eastAsia="Times New Roman" w:hAnsi="Times New Roman"/>
          <w:sz w:val="13"/>
          <w:szCs w:val="13"/>
          <w:color w:val="auto"/>
        </w:rPr>
        <w:t xml:space="preserve">. Consistent with standard market settlement practices, the Company or the Agent may, upon notice to the other party hereto in writing (including by email correspondence to each of the individuals of the other party whose names are set forth on Schedule A hereto) or by telephone (confirmed immediately by verifiable email), suspend any sale of Shares, and the period set forth in an Issuance Notice shall immediately terminate; </w:t>
      </w:r>
      <w:r>
        <w:rPr>
          <w:rFonts w:ascii="Times New Roman" w:cs="Times New Roman" w:eastAsia="Times New Roman" w:hAnsi="Times New Roman"/>
          <w:sz w:val="13"/>
          <w:szCs w:val="13"/>
          <w:i w:val="1"/>
          <w:iCs w:val="1"/>
          <w:color w:val="auto"/>
        </w:rPr>
        <w:t>provided, however</w:t>
      </w:r>
      <w:r>
        <w:rPr>
          <w:rFonts w:ascii="Times New Roman" w:cs="Times New Roman" w:eastAsia="Times New Roman" w:hAnsi="Times New Roman"/>
          <w:sz w:val="13"/>
          <w:szCs w:val="13"/>
          <w:color w:val="auto"/>
        </w:rPr>
        <w:t xml:space="preserve">, that (A) such suspension and termination shall not affect or impair either party’s obligations with respect to any Shares placed or sold hereunder prior to the receipt of such notice; (B) if the Company suspends or terminates any sale of Shares after the Agent confirms such sale to the Company, the Company shall still be obligated to comply with </w:t>
      </w:r>
      <w:r>
        <w:rPr>
          <w:rFonts w:ascii="Times New Roman" w:cs="Times New Roman" w:eastAsia="Times New Roman" w:hAnsi="Times New Roman"/>
          <w:sz w:val="13"/>
          <w:szCs w:val="13"/>
          <w:u w:val="single" w:color="auto"/>
          <w:color w:val="auto"/>
        </w:rPr>
        <w:t>Section 3(b)(v)</w:t>
      </w:r>
      <w:r>
        <w:rPr>
          <w:rFonts w:ascii="Times New Roman" w:cs="Times New Roman" w:eastAsia="Times New Roman" w:hAnsi="Times New Roman"/>
          <w:sz w:val="13"/>
          <w:szCs w:val="13"/>
          <w:color w:val="auto"/>
        </w:rPr>
        <w:t xml:space="preserve"> with respect to such Shares; and (C) if the Company defaults in its obligation to deliver Shares on a Settlement Date, the Company agrees that it will hold the Agent harmless against any loss, claim, damage or expense (including, without limitation, penalties, interest and reasonable and documented legal fees and expenses), as incurred, arising out of or in connection with such default by the Company. The parties hereto acknowledge and agree that, in performing its obligations under this Agreement, the Agent may borrow Common Shares from stock lenders in the event that the Company has not delivered Shares to settle sales as required by subsection (v) above, and may use the Shares to settle or close out such borrowings. The Company agrees that no such notice shall be effective against the Agent unless it is made to the persons identified in writing by the Agent pursuant to </w:t>
      </w:r>
      <w:r>
        <w:rPr>
          <w:rFonts w:ascii="Times New Roman" w:cs="Times New Roman" w:eastAsia="Times New Roman" w:hAnsi="Times New Roman"/>
          <w:sz w:val="13"/>
          <w:szCs w:val="13"/>
          <w:u w:val="single" w:color="auto"/>
          <w:color w:val="auto"/>
        </w:rPr>
        <w:t>Section 3(b)(i)</w:t>
      </w:r>
      <w:r>
        <w:rPr>
          <w:rFonts w:ascii="Times New Roman" w:cs="Times New Roman" w:eastAsia="Times New Roman" w:hAnsi="Times New Roman"/>
          <w:sz w:val="13"/>
          <w:szCs w:val="13"/>
          <w:color w:val="auto"/>
        </w:rPr>
        <w:t>.</w:t>
      </w:r>
    </w:p>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18</w:t>
      </w:r>
    </w:p>
    <w:p>
      <w:pPr>
        <w:sectPr>
          <w:pgSz w:w="11900" w:h="16838" w:orient="portrait"/>
          <w:cols w:equalWidth="0" w:num="1">
            <w:col w:w="9019"/>
          </w:cols>
          <w:pgMar w:left="1440" w:top="238" w:right="1440" w:bottom="1440" w:gutter="0" w:footer="0" w:header="0"/>
        </w:sectPr>
      </w:pPr>
    </w:p>
    <w:bookmarkStart w:id="123" w:name="page124"/>
    <w:bookmarkEnd w:id="123"/>
    <w:p>
      <w:pPr>
        <w:ind w:left="400" w:right="419" w:firstLine="321"/>
        <w:spacing w:after="0" w:line="271" w:lineRule="auto"/>
        <w:tabs>
          <w:tab w:leader="none" w:pos="993" w:val="left"/>
        </w:tabs>
        <w:numPr>
          <w:ilvl w:val="0"/>
          <w:numId w:val="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8">
                      <a:extLst>
                        <a:ext uri="{28A0092B-C50C-407E-A947-70E740481C1C}"/>
                      </a:extLst>
                    </a:blip>
                    <a:srcRect/>
                    <a:stretch>
                      <a:fillRect/>
                    </a:stretch>
                  </pic:blipFill>
                  <pic:spPr bwMode="auto">
                    <a:xfrm>
                      <a:off x="0" y="0"/>
                      <a:ext cx="7205345" cy="31750"/>
                    </a:xfrm>
                    <a:prstGeom prst="rect">
                      <a:avLst/>
                    </a:prstGeom>
                    <a:noFill/>
                  </pic:spPr>
                </pic:pic>
              </a:graphicData>
            </a:graphic>
          </wp:anchor>
        </w:drawing>
        <w:t>No Guarantee of Placement, Etc.</w:t>
      </w:r>
      <w:r>
        <w:rPr>
          <w:rFonts w:ascii="Times New Roman" w:cs="Times New Roman" w:eastAsia="Times New Roman" w:hAnsi="Times New Roman"/>
          <w:sz w:val="13"/>
          <w:szCs w:val="13"/>
          <w:color w:val="auto"/>
        </w:rPr>
        <w:t xml:space="preserve"> The Company acknowledges and agrees that (A) there can be no assurance that the Agent will be successful in placing Shares; (B) the Agent will incur no liability or obligation to the Company or any other Person if it does not sell Shares; and (C) the Agent shall be under no obligation to purchase Shares on a principal basis pursuant to this Agreement, except as otherwise specifically agreed by the Agent and the Company.</w:t>
      </w:r>
    </w:p>
    <w:p>
      <w:pPr>
        <w:spacing w:after="0" w:line="131" w:lineRule="exact"/>
        <w:rPr>
          <w:rFonts w:ascii="Times New Roman" w:cs="Times New Roman" w:eastAsia="Times New Roman" w:hAnsi="Times New Roman"/>
          <w:sz w:val="13"/>
          <w:szCs w:val="13"/>
          <w:color w:val="auto"/>
        </w:rPr>
      </w:pPr>
    </w:p>
    <w:p>
      <w:pPr>
        <w:ind w:left="400" w:right="599" w:firstLine="321"/>
        <w:spacing w:after="0" w:line="278" w:lineRule="auto"/>
        <w:tabs>
          <w:tab w:leader="none" w:pos="1031" w:val="left"/>
        </w:tabs>
        <w:numPr>
          <w:ilvl w:val="0"/>
          <w:numId w:val="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Material Non-Public Information.</w:t>
      </w:r>
      <w:r>
        <w:rPr>
          <w:rFonts w:ascii="Times New Roman" w:cs="Times New Roman" w:eastAsia="Times New Roman" w:hAnsi="Times New Roman"/>
          <w:sz w:val="13"/>
          <w:szCs w:val="13"/>
          <w:color w:val="auto"/>
        </w:rPr>
        <w:t xml:space="preserve"> Notwithstanding any other provision of this Agreement, the Company and the Agent agree that the Company shall not deliver any Issuance Notice to the Agent, and the Agent shall not be obligated to place any Shares, during any period in which the Company is in possession of material non-public information.</w:t>
      </w:r>
    </w:p>
    <w:p>
      <w:pPr>
        <w:spacing w:after="0" w:line="125" w:lineRule="exact"/>
        <w:rPr>
          <w:sz w:val="20"/>
          <w:szCs w:val="20"/>
          <w:color w:val="auto"/>
        </w:rPr>
      </w:pPr>
    </w:p>
    <w:p>
      <w:pPr>
        <w:jc w:val="both"/>
        <w:ind w:left="400" w:right="439" w:firstLine="321"/>
        <w:spacing w:after="0" w:line="278" w:lineRule="auto"/>
        <w:tabs>
          <w:tab w:leader="none" w:pos="911" w:val="left"/>
        </w:tabs>
        <w:numPr>
          <w:ilvl w:val="0"/>
          <w:numId w:val="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Fees</w:t>
      </w:r>
      <w:r>
        <w:rPr>
          <w:rFonts w:ascii="Times New Roman" w:cs="Times New Roman" w:eastAsia="Times New Roman" w:hAnsi="Times New Roman"/>
          <w:sz w:val="13"/>
          <w:szCs w:val="13"/>
          <w:color w:val="auto"/>
        </w:rPr>
        <w:t xml:space="preserve">. As compensation for services rendered, the Company shall pay to the Agent, on the applicable Settlement Date, the Selling Commission for the applicable Issuance Amount (including with respect to any suspended or terminated sale pursuant to </w:t>
      </w:r>
      <w:r>
        <w:rPr>
          <w:rFonts w:ascii="Times New Roman" w:cs="Times New Roman" w:eastAsia="Times New Roman" w:hAnsi="Times New Roman"/>
          <w:sz w:val="13"/>
          <w:szCs w:val="13"/>
          <w:u w:val="single" w:color="auto"/>
          <w:color w:val="auto"/>
        </w:rPr>
        <w:t>Section 3(b)(vi))</w:t>
      </w:r>
      <w:r>
        <w:rPr>
          <w:rFonts w:ascii="Times New Roman" w:cs="Times New Roman" w:eastAsia="Times New Roman" w:hAnsi="Times New Roman"/>
          <w:sz w:val="13"/>
          <w:szCs w:val="13"/>
          <w:color w:val="auto"/>
        </w:rPr>
        <w:t xml:space="preserve"> by the Agent deducting the Selling Commission from the applicable Issuance Amount.</w:t>
      </w:r>
    </w:p>
    <w:p>
      <w:pPr>
        <w:spacing w:after="0" w:line="125" w:lineRule="exact"/>
        <w:rPr>
          <w:rFonts w:ascii="Times New Roman" w:cs="Times New Roman" w:eastAsia="Times New Roman" w:hAnsi="Times New Roman"/>
          <w:sz w:val="13"/>
          <w:szCs w:val="13"/>
          <w:color w:val="auto"/>
        </w:rPr>
      </w:pPr>
    </w:p>
    <w:p>
      <w:pPr>
        <w:ind w:left="400" w:right="419" w:firstLine="321"/>
        <w:spacing w:after="0" w:line="261" w:lineRule="auto"/>
        <w:tabs>
          <w:tab w:leader="none" w:pos="919" w:val="left"/>
        </w:tabs>
        <w:numPr>
          <w:ilvl w:val="0"/>
          <w:numId w:val="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Expenses</w:t>
      </w:r>
      <w:r>
        <w:rPr>
          <w:rFonts w:ascii="Times New Roman" w:cs="Times New Roman" w:eastAsia="Times New Roman" w:hAnsi="Times New Roman"/>
          <w:sz w:val="13"/>
          <w:szCs w:val="13"/>
          <w:color w:val="auto"/>
        </w:rPr>
        <w:t>. The Company agrees to pay all costs, fees and expenses incurred in connection with the performance of its obligations hereunder and in connection with the transactions contemplated hereby, including without limitation (i) all expenses incident to the issuance and delivery of the Shares (including all printing and engraving costs); (ii) all fees and expenses of the registrar and transfer agent of the Shares; (iii) all necessary issue, transfer and other stamp taxes in connection with the issuance and sale of the Shares; (iv) all fees and expenses of the Company’s counsel, independent public or certified public accountants and other advisors; (v) all costs and expenses incurred in connection with the preparation, printing, filing, shipping and distribution of the Registration Statement (including financial statements, exhibits, schedules, consents and certificates of experts), the Prospectus, any Free Writing Prospectus (as defined below) prepared by or on behalf of, used by, or referred to by the Company, and all amendments and supplements thereto, and this Agreement; (vi) all filing fees, attorneys’ fees and expenses incurred by the Company or the Agent in connection with qualifying or registering (or obtaining exemptions from the qualification or registration of) all or any part of the Shares for offer and sale under the state securities or blue sky laws or the provincial securities laws of Canada, and, if requested by the Agent, preparing and printing a “Blue Sky Survey” or memorandum and a “Canadian wrapper” and any supplements thereto, advising the Agent of such qualifications, registrations, determinations and exemptions; (vii) the reasonable and documented fees and disbursements of the Agent’s counsel, including the reasonable and documented fees and expenses of counsel for the Agent in connection with, FINRA review, if any, and approval of the Agent’s participation in the offering and distribution of the Shares; (viii) the filing fees incident to FINRA review, if any; and (ix) the fees and expenses associated with listing the Shares on the Principal Market. The fees and disbursements of Agent’s counsel pursuant to subsections (vi) and (vii) above shall not exceed (A) $75,000 in connection with the execution of this Agreement, (B) $25,000 in connection with each Triggering Event Date (as defined below) on which the Company is required</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19</w:t>
      </w:r>
    </w:p>
    <w:p>
      <w:pPr>
        <w:sectPr>
          <w:pgSz w:w="11900" w:h="16838" w:orient="portrait"/>
          <w:cols w:equalWidth="0" w:num="1">
            <w:col w:w="9019"/>
          </w:cols>
          <w:pgMar w:left="1440" w:top="238" w:right="1440" w:bottom="1440" w:gutter="0" w:footer="0" w:header="0"/>
        </w:sectPr>
      </w:pPr>
    </w:p>
    <w:bookmarkStart w:id="124" w:name="page125"/>
    <w:bookmarkEnd w:id="124"/>
    <w:p>
      <w:pPr>
        <w:ind w:left="400" w:right="459"/>
        <w:spacing w:after="0" w:line="271"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9">
                      <a:extLst>
                        <a:ext uri="{28A0092B-C50C-407E-A947-70E740481C1C}"/>
                      </a:extLst>
                    </a:blip>
                    <a:srcRect/>
                    <a:stretch>
                      <a:fillRect/>
                    </a:stretch>
                  </pic:blipFill>
                  <pic:spPr bwMode="auto">
                    <a:xfrm>
                      <a:off x="0" y="0"/>
                      <a:ext cx="7205345" cy="31750"/>
                    </a:xfrm>
                    <a:prstGeom prst="rect">
                      <a:avLst/>
                    </a:prstGeom>
                    <a:noFill/>
                  </pic:spPr>
                </pic:pic>
              </a:graphicData>
            </a:graphic>
          </wp:anchor>
        </w:drawing>
        <w:t xml:space="preserve">to provide a certificate pursuant to </w:t>
      </w:r>
      <w:r>
        <w:rPr>
          <w:rFonts w:ascii="Times New Roman" w:cs="Times New Roman" w:eastAsia="Times New Roman" w:hAnsi="Times New Roman"/>
          <w:sz w:val="13"/>
          <w:szCs w:val="13"/>
          <w:u w:val="single" w:color="auto"/>
          <w:color w:val="auto"/>
        </w:rPr>
        <w:t>Section 4(o</w:t>
      </w:r>
      <w:r>
        <w:rPr>
          <w:rFonts w:ascii="Times New Roman" w:cs="Times New Roman" w:eastAsia="Times New Roman" w:hAnsi="Times New Roman"/>
          <w:sz w:val="13"/>
          <w:szCs w:val="13"/>
          <w:color w:val="auto"/>
        </w:rPr>
        <w:t>), and (C) $40,000 for each program “refresh” (i.e., the filing of a new registration statement, prospectus, or prospectus supplement relating to the Shares and/or an amendment of this Agreement) in connection with this Agreement. For the avoidance of doubt, in the event of any program “refresh” that occurs concurrently with or in lieu of a Triggering Event Date, only fees and disbursements of Agent’s counsel described in clause (C) shall be owed.</w:t>
      </w:r>
    </w:p>
    <w:p>
      <w:pPr>
        <w:spacing w:after="0" w:line="20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3"/>
          <w:szCs w:val="13"/>
          <w:b w:val="1"/>
          <w:bCs w:val="1"/>
          <w:color w:val="auto"/>
        </w:rPr>
        <w:t>Section 4. ADDITIONAL COVENANTS</w:t>
      </w:r>
    </w:p>
    <w:p>
      <w:pPr>
        <w:spacing w:after="0" w:line="9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3"/>
          <w:szCs w:val="13"/>
          <w:color w:val="auto"/>
        </w:rPr>
        <w:t>The Company covenants and agrees with the Agent as follows, in addition to any other covenants and agreements made elsewhere in this</w:t>
      </w:r>
    </w:p>
    <w:p>
      <w:pPr>
        <w:spacing w:after="0" w:line="2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3"/>
          <w:szCs w:val="13"/>
          <w:color w:val="auto"/>
        </w:rPr>
        <w:t>Agreement:</w:t>
      </w:r>
    </w:p>
    <w:p>
      <w:pPr>
        <w:spacing w:after="0" w:line="80" w:lineRule="exact"/>
        <w:rPr>
          <w:sz w:val="20"/>
          <w:szCs w:val="20"/>
          <w:color w:val="auto"/>
        </w:rPr>
      </w:pPr>
    </w:p>
    <w:p>
      <w:pPr>
        <w:ind w:left="400" w:right="439" w:firstLine="321"/>
        <w:spacing w:after="0" w:line="264" w:lineRule="auto"/>
        <w:tabs>
          <w:tab w:leader="none" w:pos="911" w:val="left"/>
        </w:tabs>
        <w:numPr>
          <w:ilvl w:val="0"/>
          <w:numId w:val="6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Exchange Act Compliance</w:t>
      </w:r>
      <w:r>
        <w:rPr>
          <w:rFonts w:ascii="Times New Roman" w:cs="Times New Roman" w:eastAsia="Times New Roman" w:hAnsi="Times New Roman"/>
          <w:sz w:val="13"/>
          <w:szCs w:val="13"/>
          <w:color w:val="auto"/>
        </w:rPr>
        <w:t>. During the Agency Period, the Company shall (i) file, on a timely basis, with the Commission all reports and documents required to be filed under Section 13, 14 or 15 of the Exchange Act in the manner and within the time periods required by the Exchange Act; and (ii) either, in the Company’s sole discretion, (A) include in its quarterly reports on Form 10-Q and its annual reports on Form 10-K, a summary detailing, for the relevant reporting period, (1) the number of Shares, if any, sold through the Agent pursuant to this Agreement and (2) the net proceeds, if any, received by the Company from such sales or (B) prepare a prospectus supplement containing, or include in such other filing permitted by the Securities Act or Exchange Act (each an “</w:t>
      </w:r>
      <w:r>
        <w:rPr>
          <w:rFonts w:ascii="Times New Roman" w:cs="Times New Roman" w:eastAsia="Times New Roman" w:hAnsi="Times New Roman"/>
          <w:sz w:val="13"/>
          <w:szCs w:val="13"/>
          <w:b w:val="1"/>
          <w:bCs w:val="1"/>
          <w:color w:val="auto"/>
        </w:rPr>
        <w:t>Interim Prospectus Supplement”)</w:t>
      </w:r>
      <w:r>
        <w:rPr>
          <w:rFonts w:ascii="Times New Roman" w:cs="Times New Roman" w:eastAsia="Times New Roman" w:hAnsi="Times New Roman"/>
          <w:sz w:val="13"/>
          <w:szCs w:val="13"/>
          <w:color w:val="auto"/>
        </w:rPr>
        <w:t>, such summary information and, at least once a quarter and subject to this Section 4, file such Interim Prospectus Supplement pursuant to Rule 424(b) under the Securities Act (and within the time periods required by Rule 424(b) and Rule 430B under the Securities Act)).</w:t>
      </w:r>
    </w:p>
    <w:p>
      <w:pPr>
        <w:spacing w:after="0" w:line="135" w:lineRule="exact"/>
        <w:rPr>
          <w:rFonts w:ascii="Times New Roman" w:cs="Times New Roman" w:eastAsia="Times New Roman" w:hAnsi="Times New Roman"/>
          <w:sz w:val="13"/>
          <w:szCs w:val="13"/>
          <w:color w:val="auto"/>
        </w:rPr>
      </w:pPr>
    </w:p>
    <w:p>
      <w:pPr>
        <w:ind w:left="400" w:right="479" w:firstLine="321"/>
        <w:spacing w:after="0" w:line="262" w:lineRule="auto"/>
        <w:tabs>
          <w:tab w:leader="none" w:pos="919" w:val="left"/>
        </w:tabs>
        <w:numPr>
          <w:ilvl w:val="0"/>
          <w:numId w:val="6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Securities Act Compliance</w:t>
      </w:r>
      <w:r>
        <w:rPr>
          <w:rFonts w:ascii="Times New Roman" w:cs="Times New Roman" w:eastAsia="Times New Roman" w:hAnsi="Times New Roman"/>
          <w:sz w:val="13"/>
          <w:szCs w:val="13"/>
          <w:color w:val="auto"/>
        </w:rPr>
        <w:t>. After the date of this Agreement, the Company shall promptly advise the Agent in writing (i) of the receipt of any comments of, or requests for additional or supplemental information from, the Commission relating to the Registration Statement; (ii) of the time and date of any filing of any post-effective amendment to the Registration Statement, any Rule 462(b) Registration Statement or any amendment or supplement to the Prospectus or any Free Writing Prospectus (as defined below); (iii) of the time and date that any post-effective amendment to the Registration Statement or any Rule 462(b) Registration Statement becomes effective; and (iv) of the issuance by the Commission of any stop order suspending the effectiveness of the Registration Statement or any post-effective amendment thereto, any Rule 462(b) Registration Statement or any amendment or supplement to the Prospectus or of any order preventing or suspending the use of any Free Writing Prospectus (as defined below) or the Prospectus, or of any proceedings to remove, suspend or terminate from listing or quotation the Common Shares from any securities exchange upon which they are listed for trading or included or designated for quotation, or of the threatening or initiation of any proceedings for any of such purposes. If the Commission shall enter any such stop order at any time, the Company will use its best efforts to obtain the lifting of such order as soon as practicable. Additionally, the Company agrees that it shall comply with the provisions of Rule 424(b) and Rule 433, as applicable, under the Securities Act and will use its reasonable efforts to confirm that any filings made by the Company under such Rule 424(b) or Rule 433 were received in a timely manner by the Commission.</w:t>
      </w: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20</w:t>
      </w:r>
    </w:p>
    <w:p>
      <w:pPr>
        <w:sectPr>
          <w:pgSz w:w="11900" w:h="16838" w:orient="portrait"/>
          <w:cols w:equalWidth="0" w:num="1">
            <w:col w:w="9019"/>
          </w:cols>
          <w:pgMar w:left="1440" w:top="238" w:right="1440" w:bottom="1440" w:gutter="0" w:footer="0" w:header="0"/>
        </w:sectPr>
      </w:pPr>
    </w:p>
    <w:bookmarkStart w:id="125" w:name="page126"/>
    <w:bookmarkEnd w:id="125"/>
    <w:p>
      <w:pPr>
        <w:ind w:left="400" w:right="479" w:firstLine="321"/>
        <w:spacing w:after="0" w:line="260" w:lineRule="auto"/>
        <w:tabs>
          <w:tab w:leader="none" w:pos="911" w:val="left"/>
        </w:tabs>
        <w:numPr>
          <w:ilvl w:val="0"/>
          <w:numId w:val="6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0">
                      <a:extLst>
                        <a:ext uri="{28A0092B-C50C-407E-A947-70E740481C1C}"/>
                      </a:extLst>
                    </a:blip>
                    <a:srcRect/>
                    <a:stretch>
                      <a:fillRect/>
                    </a:stretch>
                  </pic:blipFill>
                  <pic:spPr bwMode="auto">
                    <a:xfrm>
                      <a:off x="0" y="0"/>
                      <a:ext cx="7205345" cy="31750"/>
                    </a:xfrm>
                    <a:prstGeom prst="rect">
                      <a:avLst/>
                    </a:prstGeom>
                    <a:noFill/>
                  </pic:spPr>
                </pic:pic>
              </a:graphicData>
            </a:graphic>
          </wp:anchor>
        </w:drawing>
        <w:t>Amendments and Supplements to the Prospectus and Other Securities Act Matters</w:t>
      </w:r>
      <w:r>
        <w:rPr>
          <w:rFonts w:ascii="Times New Roman" w:cs="Times New Roman" w:eastAsia="Times New Roman" w:hAnsi="Times New Roman"/>
          <w:sz w:val="13"/>
          <w:szCs w:val="13"/>
          <w:color w:val="auto"/>
        </w:rPr>
        <w:t>. If any event shall occur or condition exist as a result of which it is necessary to amend or supplement the Prospectus so that the Prospectus does not include an untrue statement of a material fact or omit to state a material fact necessary in order to make the statements therein, in the light of the circumstances when the Prospectus is delivered to a purchaser, not misleading, or if in the opinion of the Agent or counsel for the Agent it is otherwise necessary to amend or supplement the Prospectus to comply with applicable law, including the Securities Act, the Company agrees (subject to Sections 4(d) and 4(f)) to promptly prepare, file with the Commission and furnish at its own expense to the Agent, amendments or supplements to the Prospectus (including by filing a document incorporated by reference therein) so that the statements in the Prospectus as so amended or supplemented will not include an untrue statement of a material fact or omit to state a material fact necessary in order to make the statements therein, in the light of the circumstances when the Prospectus is delivered to a purchaser, not misleading or so that the Prospectus, as amended or supplemented, will comply with applicable law including the Securities Act. Neither the Agent’s consent to, or delivery of, any such amendment or supplement shall constitute a waiver of any of the Company’s obligations under Sections 4(d) and</w:t>
      </w:r>
    </w:p>
    <w:p>
      <w:pPr>
        <w:spacing w:after="0" w:line="5" w:lineRule="exact"/>
        <w:rPr>
          <w:rFonts w:ascii="Times New Roman" w:cs="Times New Roman" w:eastAsia="Times New Roman" w:hAnsi="Times New Roman"/>
          <w:sz w:val="13"/>
          <w:szCs w:val="13"/>
          <w:color w:val="auto"/>
        </w:rPr>
      </w:pPr>
    </w:p>
    <w:p>
      <w:pPr>
        <w:ind w:left="400" w:right="439"/>
        <w:spacing w:after="0" w:line="277"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4(f). Notwithstanding the foregoing, the Company shall not be required to file such amendment or supplement if there is no outstanding Issuance Notice and the Company believes that it is in its best interest not to file such amendment or supplement.</w:t>
      </w:r>
    </w:p>
    <w:p>
      <w:pPr>
        <w:spacing w:after="0" w:line="126" w:lineRule="exact"/>
        <w:rPr>
          <w:rFonts w:ascii="Times New Roman" w:cs="Times New Roman" w:eastAsia="Times New Roman" w:hAnsi="Times New Roman"/>
          <w:sz w:val="13"/>
          <w:szCs w:val="13"/>
          <w:color w:val="auto"/>
        </w:rPr>
      </w:pPr>
    </w:p>
    <w:p>
      <w:pPr>
        <w:ind w:left="400" w:right="399" w:firstLine="321"/>
        <w:spacing w:after="0" w:line="264" w:lineRule="auto"/>
        <w:tabs>
          <w:tab w:leader="none" w:pos="919" w:val="left"/>
        </w:tabs>
        <w:numPr>
          <w:ilvl w:val="0"/>
          <w:numId w:val="6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Agent’s Review of Proposed Amendments and Supplements</w:t>
      </w:r>
      <w:r>
        <w:rPr>
          <w:rFonts w:ascii="Times New Roman" w:cs="Times New Roman" w:eastAsia="Times New Roman" w:hAnsi="Times New Roman"/>
          <w:sz w:val="13"/>
          <w:szCs w:val="13"/>
          <w:color w:val="auto"/>
        </w:rPr>
        <w:t>. Prior to amending or supplementing the Registration Statement (including any registration statement filed under Rule 462(b) under the Securities Act) or the Prospectus (excluding any amendment or supplement through incorporation of any report filed under the Exchange Act) insofar as such proposed amendment or supplement relates to the Shares, the Company shall furnish to the Agent for review, a reasonable amount of time prior to the proposed time of filing or use thereof, a copy of each such proposed amendment or supplement, and the Company shall not file or use any such proposed amendment or supplement without the Agent’s prior consent, which shall not be unreasonably withheld, conditioned or delayed, and the Company shall file with the Commission within the applicable period specified in Rule 424(b) under the Securities Act any prospectus required to be filed pursuant to such Rule; provided, however, that the Company has no obligation to provide the Agent any advance copy of such filing if the filing does not name the Agent and does not relate to the Shares or the transactions contemplated by this Agreement.</w:t>
      </w:r>
    </w:p>
    <w:p>
      <w:pPr>
        <w:spacing w:after="0" w:line="296" w:lineRule="exact"/>
        <w:rPr>
          <w:rFonts w:ascii="Times New Roman" w:cs="Times New Roman" w:eastAsia="Times New Roman" w:hAnsi="Times New Roman"/>
          <w:sz w:val="13"/>
          <w:szCs w:val="13"/>
          <w:color w:val="auto"/>
        </w:rPr>
      </w:pPr>
    </w:p>
    <w:p>
      <w:pPr>
        <w:jc w:val="both"/>
        <w:ind w:left="400" w:right="459" w:firstLine="321"/>
        <w:spacing w:after="0" w:line="271" w:lineRule="auto"/>
        <w:tabs>
          <w:tab w:leader="none" w:pos="911" w:val="left"/>
        </w:tabs>
        <w:numPr>
          <w:ilvl w:val="0"/>
          <w:numId w:val="6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Use of Free Writing Prospectus</w:t>
      </w:r>
      <w:r>
        <w:rPr>
          <w:rFonts w:ascii="Times New Roman" w:cs="Times New Roman" w:eastAsia="Times New Roman" w:hAnsi="Times New Roman"/>
          <w:sz w:val="13"/>
          <w:szCs w:val="13"/>
          <w:color w:val="auto"/>
        </w:rPr>
        <w:t>. Neither the Company nor the Agent has prepared, used, referred to or distributed, or will prepare, use, refer to or distribute, without the other party’s prior written consent, any “written communication” that constitutes a “free writing prospectus” as such terms are defined in Rule 405 under the Securities Act with respect to the offering contemplated by this Agreement (any such free writing prospectus being referred to herein as a “</w:t>
      </w:r>
      <w:r>
        <w:rPr>
          <w:rFonts w:ascii="Times New Roman" w:cs="Times New Roman" w:eastAsia="Times New Roman" w:hAnsi="Times New Roman"/>
          <w:sz w:val="13"/>
          <w:szCs w:val="13"/>
          <w:b w:val="1"/>
          <w:bCs w:val="1"/>
          <w:color w:val="auto"/>
        </w:rPr>
        <w:t>Free Writing Prospectus</w:t>
      </w:r>
      <w:r>
        <w:rPr>
          <w:rFonts w:ascii="Times New Roman" w:cs="Times New Roman" w:eastAsia="Times New Roman" w:hAnsi="Times New Roman"/>
          <w:sz w:val="13"/>
          <w:szCs w:val="13"/>
          <w:color w:val="auto"/>
        </w:rPr>
        <w:t>”).</w:t>
      </w:r>
    </w:p>
    <w:p>
      <w:pPr>
        <w:spacing w:after="0" w:line="131" w:lineRule="exact"/>
        <w:rPr>
          <w:rFonts w:ascii="Times New Roman" w:cs="Times New Roman" w:eastAsia="Times New Roman" w:hAnsi="Times New Roman"/>
          <w:sz w:val="13"/>
          <w:szCs w:val="13"/>
          <w:color w:val="auto"/>
        </w:rPr>
      </w:pPr>
    </w:p>
    <w:p>
      <w:pPr>
        <w:ind w:left="400" w:right="399" w:firstLine="321"/>
        <w:spacing w:after="0" w:line="261" w:lineRule="auto"/>
        <w:tabs>
          <w:tab w:leader="none" w:pos="896" w:val="left"/>
        </w:tabs>
        <w:numPr>
          <w:ilvl w:val="0"/>
          <w:numId w:val="6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Free Writing Prospectuses</w:t>
      </w:r>
      <w:r>
        <w:rPr>
          <w:rFonts w:ascii="Times New Roman" w:cs="Times New Roman" w:eastAsia="Times New Roman" w:hAnsi="Times New Roman"/>
          <w:sz w:val="13"/>
          <w:szCs w:val="13"/>
          <w:color w:val="auto"/>
        </w:rPr>
        <w:t xml:space="preserve">. The Company shall furnish to the Agent for review, a reasonable amount of time prior to the proposed time of filing or use thereof, a copy of each proposed Free Writing Prospectus or any amendment or supplement thereto to be prepared by or on behalf of, used by, or referred to by the Company, insofar as such proposed Free Writing Prospectus or amendment or supplement relates to the Shares, and the Company shall not file, use or refer to any proposed Free Writing Prospectus or any amendment or supplement thereto without the Agent’s consent, which shall not be unreasonably withheld, conditioned or delayed,. The Company shall furnish to the Agent, without charge, as many copies of any Free Writing Prospectus prepared by or on behalf of, or used by the Company, as the Agent may reasonably request. If at any time when a prospectus is required by the Securities Act (including, without limitation, pursuant to Rule 173(d)) to be delivered in connection with sales of the Shares (but in any event if at any time through and including the date of this Agreement) there occurred or occurs an event or development as a result of which any Free Writing Prospectus prepared by or on behalf of, used by, or referred to by the Company conflicted or would conflict with the information contained in the Registration Statement or included or would include an untrue statement of a material fact or omitted or would omit to state a material fact necessary in order to make the statements therein, in the light of the circumstances prevailing at that subsequent time, not misleading, the Company shall promptly amend or supplement such Free Writing Prospectus to eliminate or correct such conflict or so that the statements in such Free Writing Prospectus as so amended or supplemented will not include an untrue statement of a material fact or omit to state a material fact necessary in order to make the statements therein, in the light of the circumstances prevailing at such subsequent time, not misleading, as the case may be; </w:t>
      </w:r>
      <w:r>
        <w:rPr>
          <w:rFonts w:ascii="Times New Roman" w:cs="Times New Roman" w:eastAsia="Times New Roman" w:hAnsi="Times New Roman"/>
          <w:sz w:val="13"/>
          <w:szCs w:val="13"/>
          <w:i w:val="1"/>
          <w:iCs w:val="1"/>
          <w:color w:val="auto"/>
        </w:rPr>
        <w:t>provided, however</w:t>
      </w:r>
      <w:r>
        <w:rPr>
          <w:rFonts w:ascii="Times New Roman" w:cs="Times New Roman" w:eastAsia="Times New Roman" w:hAnsi="Times New Roman"/>
          <w:sz w:val="13"/>
          <w:szCs w:val="13"/>
          <w:color w:val="auto"/>
        </w:rPr>
        <w:t>, that prior to amending or supplementing any such Free Writing Prospectus, the Company shall furnish to the Agent for review, a reasonable amount of time prior to the proposed time of filing or use thereof, a copy of such proposed amended or supplemented Free Writing Prospectus and the Company shall not file, use or refer to any such amended or supplemented Free Writing Prospectus without the Agent’s consent, which shall not be unreasonably withheld, conditioned or delayed,.</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21</w:t>
      </w:r>
    </w:p>
    <w:p>
      <w:pPr>
        <w:sectPr>
          <w:pgSz w:w="11900" w:h="16838" w:orient="portrait"/>
          <w:cols w:equalWidth="0" w:num="1">
            <w:col w:w="9019"/>
          </w:cols>
          <w:pgMar w:left="1440" w:top="238" w:right="1440" w:bottom="1440" w:gutter="0" w:footer="0" w:header="0"/>
        </w:sectPr>
      </w:pPr>
    </w:p>
    <w:bookmarkStart w:id="126" w:name="page127"/>
    <w:bookmarkEnd w:id="126"/>
    <w:p>
      <w:pPr>
        <w:ind w:left="400" w:right="519" w:firstLine="321"/>
        <w:spacing w:after="0" w:line="278" w:lineRule="auto"/>
        <w:tabs>
          <w:tab w:leader="none" w:pos="919" w:val="left"/>
        </w:tabs>
        <w:numPr>
          <w:ilvl w:val="0"/>
          <w:numId w:val="6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1">
                      <a:extLst>
                        <a:ext uri="{28A0092B-C50C-407E-A947-70E740481C1C}"/>
                      </a:extLst>
                    </a:blip>
                    <a:srcRect/>
                    <a:stretch>
                      <a:fillRect/>
                    </a:stretch>
                  </pic:blipFill>
                  <pic:spPr bwMode="auto">
                    <a:xfrm>
                      <a:off x="0" y="0"/>
                      <a:ext cx="7205345" cy="31750"/>
                    </a:xfrm>
                    <a:prstGeom prst="rect">
                      <a:avLst/>
                    </a:prstGeom>
                    <a:noFill/>
                  </pic:spPr>
                </pic:pic>
              </a:graphicData>
            </a:graphic>
          </wp:anchor>
        </w:drawing>
        <w:t>Filing of Agent Free Writing Prospectuses</w:t>
      </w:r>
      <w:r>
        <w:rPr>
          <w:rFonts w:ascii="Times New Roman" w:cs="Times New Roman" w:eastAsia="Times New Roman" w:hAnsi="Times New Roman"/>
          <w:sz w:val="13"/>
          <w:szCs w:val="13"/>
          <w:color w:val="auto"/>
        </w:rPr>
        <w:t>. The Company shall not take any action that would result in the Agent or the Company being required to file with the Commission pursuant to Rule 433(d) under the Securities Act a Free Writing Prospectus prepared by or on behalf of the Agent that the Agent otherwise would not have been required to file thereunder.</w:t>
      </w:r>
    </w:p>
    <w:p>
      <w:pPr>
        <w:spacing w:after="0" w:line="125" w:lineRule="exact"/>
        <w:rPr>
          <w:rFonts w:ascii="Times New Roman" w:cs="Times New Roman" w:eastAsia="Times New Roman" w:hAnsi="Times New Roman"/>
          <w:sz w:val="13"/>
          <w:szCs w:val="13"/>
          <w:color w:val="auto"/>
        </w:rPr>
      </w:pPr>
    </w:p>
    <w:p>
      <w:pPr>
        <w:ind w:left="400" w:right="419" w:firstLine="321"/>
        <w:spacing w:after="0" w:line="261" w:lineRule="auto"/>
        <w:tabs>
          <w:tab w:leader="none" w:pos="919" w:val="left"/>
        </w:tabs>
        <w:numPr>
          <w:ilvl w:val="0"/>
          <w:numId w:val="6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Copies of Registration Statement and Prospectus</w:t>
      </w:r>
      <w:r>
        <w:rPr>
          <w:rFonts w:ascii="Times New Roman" w:cs="Times New Roman" w:eastAsia="Times New Roman" w:hAnsi="Times New Roman"/>
          <w:sz w:val="13"/>
          <w:szCs w:val="13"/>
          <w:color w:val="auto"/>
        </w:rPr>
        <w:t>. After the date of this Agreement through the last time that a prospectus is required by the Securities Act (including, without limitation, pursuant to Rule 173(d)) to be delivered in connection with sales of the Shares, the Company agrees to furnish the Agent with copies (which may be electronic copies) of the Registration Statement and each amendment thereto, and with copies (which may be electronic copies) of the Prospectus and each amendment or supplement thereto in the form in which it is filed with the Commission pursuant to the Securities Act or Rule 424(b) under the Securities Act, both in such quantities as the Agent may reasonably request from time to time; and, if the delivery of a prospectus is required under the Securities Act or under the blue sky or securities laws of any jurisdiction at any time on or prior to the applicable Settlement Date for any period set forth in an Issuance Notice in connection with the offering or sale of the Shares and if at such time any event has occurred as a result of which the Prospectus as then amended or supplemented would include an untrue statement of a material fact or omit to state any material fact necessary in order to make the statements therein, in the light of the circumstances under which they were made when such Prospectus is delivered, not misleading, or, if for any other reason it is necessary during such same period to amend or supplement the Prospectus or to file under the Exchange Act any document incorporated by reference in the Prospectus in order to comply with the Securities Act or the Exchange Act, to notify the Agent and to request that the Agent suspend offers to sell Shares (and, if so notified, the Agent shall cease such offers as soon as practicable); and if the Company decides to amend or supplement the Registration Statement or the Prospectus as then amended or supplemented, to advise the Agent promptly by telephone (with confirmation in writing) and to prepare and cause to be filed promptly with the Commission an amendment or supplement to the Registration Statement or the Prospectus as then amended or supplemented that will correct such statement or omission or effect such compliance; provided, however, that if during such same period the Agent is required to deliver a prospectus in respect of transactions in the Shares, the Company shall promptly prepare and file with the Commission such an amendment or supplement.</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22</w:t>
      </w:r>
    </w:p>
    <w:p>
      <w:pPr>
        <w:sectPr>
          <w:pgSz w:w="11900" w:h="16838" w:orient="portrait"/>
          <w:cols w:equalWidth="0" w:num="1">
            <w:col w:w="9019"/>
          </w:cols>
          <w:pgMar w:left="1440" w:top="238" w:right="1440" w:bottom="1440" w:gutter="0" w:footer="0" w:header="0"/>
        </w:sectPr>
      </w:pPr>
    </w:p>
    <w:bookmarkStart w:id="127" w:name="page128"/>
    <w:bookmarkEnd w:id="127"/>
    <w:p>
      <w:pPr>
        <w:ind w:left="400" w:right="499" w:firstLine="321"/>
        <w:spacing w:after="0" w:line="264" w:lineRule="auto"/>
        <w:tabs>
          <w:tab w:leader="none" w:pos="889" w:val="left"/>
        </w:tabs>
        <w:numPr>
          <w:ilvl w:val="0"/>
          <w:numId w:val="7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2">
                      <a:extLst>
                        <a:ext uri="{28A0092B-C50C-407E-A947-70E740481C1C}"/>
                      </a:extLst>
                    </a:blip>
                    <a:srcRect/>
                    <a:stretch>
                      <a:fillRect/>
                    </a:stretch>
                  </pic:blipFill>
                  <pic:spPr bwMode="auto">
                    <a:xfrm>
                      <a:off x="0" y="0"/>
                      <a:ext cx="7205345" cy="31750"/>
                    </a:xfrm>
                    <a:prstGeom prst="rect">
                      <a:avLst/>
                    </a:prstGeom>
                    <a:noFill/>
                  </pic:spPr>
                </pic:pic>
              </a:graphicData>
            </a:graphic>
          </wp:anchor>
        </w:drawing>
        <w:t>Blue Sky Compliance</w:t>
      </w:r>
      <w:r>
        <w:rPr>
          <w:rFonts w:ascii="Times New Roman" w:cs="Times New Roman" w:eastAsia="Times New Roman" w:hAnsi="Times New Roman"/>
          <w:sz w:val="13"/>
          <w:szCs w:val="13"/>
          <w:color w:val="auto"/>
        </w:rPr>
        <w:t>. The Company shall cooperate with the Agent and counsel for the Agent to qualify or register the Shares for sale under (or obtain exemptions from the application of) the state securities or blue sky laws or Canadian provincial securities laws of those jurisdictions designated by the Agent, shall comply with such laws and shall continue such qualifications, registrations and exemptions in effect so long as required for the distribution of the Shares. The Company shall not be required to qualify as a foreign corporation or to take any action that would subject it to general service of process in any such jurisdiction where it is not presently qualified or where it would be subject to taxation as a foreign corporation. The Company will advise the Agent promptly of the suspension of the qualification or registration of (or any such exemption relating to) the Shares for offering, sale or trading in any jurisdiction or any initiation or threat of any proceeding for any such purpose, and in the event of the issuance of any order suspending such qualification, registration or exemption, the Company shall use its best efforts to obtain the withdrawal thereof as soon as practicable.</w:t>
      </w:r>
    </w:p>
    <w:p>
      <w:pPr>
        <w:spacing w:after="0" w:line="296" w:lineRule="exact"/>
        <w:rPr>
          <w:rFonts w:ascii="Times New Roman" w:cs="Times New Roman" w:eastAsia="Times New Roman" w:hAnsi="Times New Roman"/>
          <w:sz w:val="13"/>
          <w:szCs w:val="13"/>
          <w:color w:val="auto"/>
        </w:rPr>
      </w:pPr>
    </w:p>
    <w:p>
      <w:pPr>
        <w:ind w:left="400" w:right="479" w:firstLine="321"/>
        <w:spacing w:after="0" w:line="268" w:lineRule="auto"/>
        <w:tabs>
          <w:tab w:leader="none" w:pos="889" w:val="left"/>
        </w:tabs>
        <w:numPr>
          <w:ilvl w:val="0"/>
          <w:numId w:val="7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Earnings Statement</w:t>
      </w:r>
      <w:r>
        <w:rPr>
          <w:rFonts w:ascii="Times New Roman" w:cs="Times New Roman" w:eastAsia="Times New Roman" w:hAnsi="Times New Roman"/>
          <w:sz w:val="13"/>
          <w:szCs w:val="13"/>
          <w:color w:val="auto"/>
        </w:rPr>
        <w:t>. As soon as practicable, the Company will make generally available to its security holders and to the Agent an earnings statement (which need not be audited) covering a period of at least twelve months beginning with the first fiscal quarter of the Company occurring after the date of this Agreement which shall satisfy the provisions of Section 11(a) of the Securities Act and Rule 158 under the Securities Act; provided that the Company will be deemed to have made such statements generally available to its security holders and the Agent to the extent they are filed on EDGAR or any successor system.</w:t>
      </w:r>
    </w:p>
    <w:p>
      <w:pPr>
        <w:spacing w:after="0" w:line="132" w:lineRule="exact"/>
        <w:rPr>
          <w:rFonts w:ascii="Times New Roman" w:cs="Times New Roman" w:eastAsia="Times New Roman" w:hAnsi="Times New Roman"/>
          <w:sz w:val="13"/>
          <w:szCs w:val="13"/>
          <w:color w:val="auto"/>
        </w:rPr>
      </w:pPr>
    </w:p>
    <w:p>
      <w:pPr>
        <w:ind w:left="400" w:right="499" w:firstLine="321"/>
        <w:spacing w:after="0" w:line="278" w:lineRule="auto"/>
        <w:tabs>
          <w:tab w:leader="none" w:pos="919" w:val="left"/>
        </w:tabs>
        <w:numPr>
          <w:ilvl w:val="0"/>
          <w:numId w:val="7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Listing; Reservation of Shares</w:t>
      </w:r>
      <w:r>
        <w:rPr>
          <w:rFonts w:ascii="Times New Roman" w:cs="Times New Roman" w:eastAsia="Times New Roman" w:hAnsi="Times New Roman"/>
          <w:sz w:val="13"/>
          <w:szCs w:val="13"/>
          <w:color w:val="auto"/>
        </w:rPr>
        <w:t>. (a) The Company will use its reasonable best efforts to maintain the listing of the Shares on the Principal Market; and (b) the Company will reserve and keep available at all times, free of preemptive rights, Shares for the purpose of enabling the Company to satisfy its obligations under this Agreement.</w:t>
      </w:r>
    </w:p>
    <w:p>
      <w:pPr>
        <w:spacing w:after="0" w:line="125" w:lineRule="exact"/>
        <w:rPr>
          <w:rFonts w:ascii="Times New Roman" w:cs="Times New Roman" w:eastAsia="Times New Roman" w:hAnsi="Times New Roman"/>
          <w:sz w:val="13"/>
          <w:szCs w:val="13"/>
          <w:color w:val="auto"/>
        </w:rPr>
      </w:pPr>
    </w:p>
    <w:p>
      <w:pPr>
        <w:ind w:left="880" w:hanging="159"/>
        <w:spacing w:after="0"/>
        <w:tabs>
          <w:tab w:leader="none" w:pos="880" w:val="left"/>
        </w:tabs>
        <w:numPr>
          <w:ilvl w:val="0"/>
          <w:numId w:val="7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Transfer Agent</w:t>
      </w:r>
      <w:r>
        <w:rPr>
          <w:rFonts w:ascii="Times New Roman" w:cs="Times New Roman" w:eastAsia="Times New Roman" w:hAnsi="Times New Roman"/>
          <w:sz w:val="13"/>
          <w:szCs w:val="13"/>
          <w:color w:val="auto"/>
        </w:rPr>
        <w:t>. The Company shall engage and maintain, at its expense, a registrar and transfer agent for the Shares.</w:t>
      </w:r>
    </w:p>
    <w:p>
      <w:pPr>
        <w:spacing w:after="0" w:line="172" w:lineRule="exact"/>
        <w:rPr>
          <w:rFonts w:ascii="Times New Roman" w:cs="Times New Roman" w:eastAsia="Times New Roman" w:hAnsi="Times New Roman"/>
          <w:sz w:val="13"/>
          <w:szCs w:val="13"/>
          <w:color w:val="auto"/>
        </w:rPr>
      </w:pPr>
    </w:p>
    <w:p>
      <w:pPr>
        <w:ind w:left="400" w:right="559" w:firstLine="321"/>
        <w:spacing w:after="0" w:line="271" w:lineRule="auto"/>
        <w:tabs>
          <w:tab w:leader="none" w:pos="956" w:val="left"/>
        </w:tabs>
        <w:numPr>
          <w:ilvl w:val="0"/>
          <w:numId w:val="7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Due Diligence</w:t>
      </w:r>
      <w:r>
        <w:rPr>
          <w:rFonts w:ascii="Times New Roman" w:cs="Times New Roman" w:eastAsia="Times New Roman" w:hAnsi="Times New Roman"/>
          <w:sz w:val="13"/>
          <w:szCs w:val="13"/>
          <w:color w:val="auto"/>
        </w:rPr>
        <w:t>. During the term of this Agreement, the Company will reasonably cooperate with any reasonable due diligence review conducted by the Agent in connection with the transactions contemplated hereby, including, without limitation, providing information and making available documents and senior corporate officers, during normal business hours and at the Company’s principal offices or virtually, as the Agent may reasonably request from time to time.</w:t>
      </w:r>
    </w:p>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23</w:t>
      </w:r>
    </w:p>
    <w:p>
      <w:pPr>
        <w:sectPr>
          <w:pgSz w:w="11900" w:h="16838" w:orient="portrait"/>
          <w:cols w:equalWidth="0" w:num="1">
            <w:col w:w="9019"/>
          </w:cols>
          <w:pgMar w:left="1440" w:top="238" w:right="1440" w:bottom="1440" w:gutter="0" w:footer="0" w:header="0"/>
        </w:sectPr>
      </w:pPr>
    </w:p>
    <w:bookmarkStart w:id="128" w:name="page129"/>
    <w:bookmarkEnd w:id="128"/>
    <w:p>
      <w:pPr>
        <w:ind w:left="400" w:right="439" w:firstLine="321"/>
        <w:spacing w:after="0" w:line="265" w:lineRule="auto"/>
        <w:tabs>
          <w:tab w:leader="none" w:pos="919" w:val="left"/>
        </w:tabs>
        <w:numPr>
          <w:ilvl w:val="1"/>
          <w:numId w:val="7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3">
                      <a:extLst>
                        <a:ext uri="{28A0092B-C50C-407E-A947-70E740481C1C}"/>
                      </a:extLst>
                    </a:blip>
                    <a:srcRect/>
                    <a:stretch>
                      <a:fillRect/>
                    </a:stretch>
                  </pic:blipFill>
                  <pic:spPr bwMode="auto">
                    <a:xfrm>
                      <a:off x="0" y="0"/>
                      <a:ext cx="7205345" cy="31750"/>
                    </a:xfrm>
                    <a:prstGeom prst="rect">
                      <a:avLst/>
                    </a:prstGeom>
                    <a:noFill/>
                  </pic:spPr>
                </pic:pic>
              </a:graphicData>
            </a:graphic>
          </wp:anchor>
        </w:drawing>
        <w:t>Representations and Warranties</w:t>
      </w:r>
      <w:r>
        <w:rPr>
          <w:rFonts w:ascii="Times New Roman" w:cs="Times New Roman" w:eastAsia="Times New Roman" w:hAnsi="Times New Roman"/>
          <w:sz w:val="13"/>
          <w:szCs w:val="13"/>
          <w:color w:val="auto"/>
        </w:rPr>
        <w:t>. The Company acknowledges that each delivery of an Issuance Notice and each delivery of Shares on a Settlement Date shall be deemed to be (i) an affirmation to the Agent that the representations and warranties of the Company contained in or made pursuant to this Agreement are true and correct as of the date of such Issuance Notice or of such Settlement Date, as the case may be, as though made at and as of each such date, except as may be disclosed in the Prospectus (including any documents incorporated by reference therein and any supplements thereto); and (ii) an undertaking that the Company will advise the Agent if any of such representations and warranties will not be true and correct as of the Settlement Date for the Shares relating to such Issuance Notice, as though made at and as of each such date (except that such representations and warranties shall be deemed to relate to the Registration Statement and the Prospectus as amended and supplemented relating to such Shares).</w:t>
      </w:r>
    </w:p>
    <w:p>
      <w:pPr>
        <w:spacing w:after="0" w:line="134" w:lineRule="exact"/>
        <w:rPr>
          <w:rFonts w:ascii="Times New Roman" w:cs="Times New Roman" w:eastAsia="Times New Roman" w:hAnsi="Times New Roman"/>
          <w:sz w:val="13"/>
          <w:szCs w:val="13"/>
          <w:color w:val="auto"/>
        </w:rPr>
      </w:pPr>
    </w:p>
    <w:p>
      <w:pPr>
        <w:ind w:left="400" w:right="539" w:firstLine="321"/>
        <w:spacing w:after="0" w:line="297" w:lineRule="auto"/>
        <w:tabs>
          <w:tab w:leader="none" w:pos="919" w:val="left"/>
        </w:tabs>
        <w:numPr>
          <w:ilvl w:val="1"/>
          <w:numId w:val="7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Deliverables at Triggering Event Dates; Certificates.</w:t>
      </w:r>
      <w:r>
        <w:rPr>
          <w:rFonts w:ascii="Times New Roman" w:cs="Times New Roman" w:eastAsia="Times New Roman" w:hAnsi="Times New Roman"/>
          <w:sz w:val="13"/>
          <w:szCs w:val="13"/>
          <w:color w:val="auto"/>
        </w:rPr>
        <w:t xml:space="preserve"> The Company agrees that on or prior to the date of the first Issuance Notice and, during the term of this Agreement after the date of the first Issuance Notice, upon:</w:t>
      </w:r>
    </w:p>
    <w:p>
      <w:pPr>
        <w:spacing w:after="0" w:line="33" w:lineRule="exact"/>
        <w:rPr>
          <w:rFonts w:ascii="Times New Roman" w:cs="Times New Roman" w:eastAsia="Times New Roman" w:hAnsi="Times New Roman"/>
          <w:sz w:val="13"/>
          <w:szCs w:val="13"/>
          <w:color w:val="auto"/>
        </w:rPr>
      </w:pPr>
    </w:p>
    <w:p>
      <w:pPr>
        <w:ind w:left="400" w:right="419" w:firstLine="732"/>
        <w:spacing w:after="0" w:line="278" w:lineRule="auto"/>
        <w:tabs>
          <w:tab w:leader="none" w:pos="1360" w:val="left"/>
        </w:tabs>
        <w:numPr>
          <w:ilvl w:val="2"/>
          <w:numId w:val="7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filing of the Prospectus or the amendment or supplement of any Registration Statement or Prospectus (other than a prospectus supplement relating solely to an offering of securities other than the Shares or a prospectus filed pursuant to Section 4(a)(ii)(B)), by means of a post-effective amendment, sticker or supplement, but not by means of incorporation of documents by reference into the Registration Statement or Prospectus;</w:t>
      </w:r>
    </w:p>
    <w:p>
      <w:pPr>
        <w:spacing w:after="0" w:line="125" w:lineRule="exact"/>
        <w:rPr>
          <w:rFonts w:ascii="Times New Roman" w:cs="Times New Roman" w:eastAsia="Times New Roman" w:hAnsi="Times New Roman"/>
          <w:sz w:val="13"/>
          <w:szCs w:val="13"/>
          <w:color w:val="auto"/>
        </w:rPr>
      </w:pPr>
    </w:p>
    <w:p>
      <w:pPr>
        <w:ind w:left="400" w:right="439" w:firstLine="732"/>
        <w:spacing w:after="0" w:line="278" w:lineRule="auto"/>
        <w:tabs>
          <w:tab w:leader="none" w:pos="1353" w:val="left"/>
        </w:tabs>
        <w:numPr>
          <w:ilvl w:val="2"/>
          <w:numId w:val="7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filing with the Commission of an annual report on Form 10-K or a quarterly report on Form 10-Q (including any Form 10-K/A or Form 10-Q/A containing amended financial information or a material amendment to the previously filed annual report on Form 10-K or quarterly report on Form 10-Q), in each case, of the Company; or</w:t>
      </w:r>
    </w:p>
    <w:p>
      <w:pPr>
        <w:spacing w:after="0" w:line="125" w:lineRule="exact"/>
        <w:rPr>
          <w:rFonts w:ascii="Times New Roman" w:cs="Times New Roman" w:eastAsia="Times New Roman" w:hAnsi="Times New Roman"/>
          <w:sz w:val="13"/>
          <w:szCs w:val="13"/>
          <w:color w:val="auto"/>
        </w:rPr>
      </w:pPr>
    </w:p>
    <w:p>
      <w:pPr>
        <w:ind w:left="400" w:right="559" w:firstLine="732"/>
        <w:spacing w:after="0" w:line="265" w:lineRule="auto"/>
        <w:tabs>
          <w:tab w:leader="none" w:pos="1353" w:val="left"/>
        </w:tabs>
        <w:numPr>
          <w:ilvl w:val="2"/>
          <w:numId w:val="7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filing with the Commission of a current report on Form 8-K of the Company (i) containing amended financial information (other than information “furnished” pursuant to Item 2.02 or 7.01 of Form 8-K or to provide disclosure pursuant to Item 8.01 of Form 8-K relating to reclassification of certain properties as discontinued operations in accordance with Statement of Financial Accounting Standards No. 144) and/or</w:t>
      </w:r>
    </w:p>
    <w:p>
      <w:pPr>
        <w:ind w:left="400" w:right="439" w:hanging="8"/>
        <w:spacing w:after="0" w:line="268" w:lineRule="auto"/>
        <w:tabs>
          <w:tab w:leader="none" w:pos="598" w:val="left"/>
        </w:tabs>
        <w:numPr>
          <w:ilvl w:val="0"/>
          <w:numId w:val="7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disclosing any material transaction requiring the filing of historical or pro forma financial statements under Item 9.01 of Form 8-K and subject to the guidance set forth in Section 2050.3 of the Financial Reporting Manual of the Commission that is material to the offering of securities of the Company in the Agent’s reasonable discretion;</w:t>
      </w:r>
    </w:p>
    <w:p>
      <w:pPr>
        <w:spacing w:after="0" w:line="128" w:lineRule="exact"/>
        <w:rPr>
          <w:sz w:val="20"/>
          <w:szCs w:val="20"/>
          <w:color w:val="auto"/>
        </w:rPr>
      </w:pPr>
    </w:p>
    <w:p>
      <w:pPr>
        <w:ind w:left="400" w:right="499"/>
        <w:spacing w:after="0" w:line="263" w:lineRule="auto"/>
        <w:rPr>
          <w:sz w:val="20"/>
          <w:szCs w:val="20"/>
          <w:color w:val="auto"/>
        </w:rPr>
      </w:pPr>
      <w:r>
        <w:rPr>
          <w:rFonts w:ascii="Times New Roman" w:cs="Times New Roman" w:eastAsia="Times New Roman" w:hAnsi="Times New Roman"/>
          <w:sz w:val="13"/>
          <w:szCs w:val="13"/>
          <w:color w:val="auto"/>
        </w:rPr>
        <w:t>(any such event, a “</w:t>
      </w:r>
      <w:r>
        <w:rPr>
          <w:rFonts w:ascii="Times New Roman" w:cs="Times New Roman" w:eastAsia="Times New Roman" w:hAnsi="Times New Roman"/>
          <w:sz w:val="13"/>
          <w:szCs w:val="13"/>
          <w:b w:val="1"/>
          <w:bCs w:val="1"/>
          <w:color w:val="auto"/>
        </w:rPr>
        <w:t>Triggering Event Date</w:t>
      </w:r>
      <w:r>
        <w:rPr>
          <w:rFonts w:ascii="Times New Roman" w:cs="Times New Roman" w:eastAsia="Times New Roman" w:hAnsi="Times New Roman"/>
          <w:sz w:val="13"/>
          <w:szCs w:val="13"/>
          <w:color w:val="auto"/>
        </w:rPr>
        <w:t xml:space="preserve">”), the Company shall furnish the Agent (but in the case of clause (C) above only if the Agent reasonably determines that the information contained in such current report on Form 8-K of the Company is material) with a certificate as of the Triggering Event Date, in the form and substance reasonably satisfactory to the Agent and its counsel, substantially similar to the form previously provided to the Agent and its counsel, modified, as necessary, to relate to the Registration Statement and the Prospectus as amended or supplemented, (A) confirming that the representations and warranties of the Company contained in this Agreement are true and correct, (B) confirming that the Company has performed all of its obligations hereunder to be performed on or prior to the date of such certificate and as to the matters set forth in </w:t>
      </w:r>
      <w:r>
        <w:rPr>
          <w:rFonts w:ascii="Times New Roman" w:cs="Times New Roman" w:eastAsia="Times New Roman" w:hAnsi="Times New Roman"/>
          <w:sz w:val="13"/>
          <w:szCs w:val="13"/>
          <w:u w:val="single" w:color="auto"/>
          <w:color w:val="auto"/>
        </w:rPr>
        <w:t>Section 5(a)(iii)</w:t>
      </w:r>
      <w:r>
        <w:rPr>
          <w:rFonts w:ascii="Times New Roman" w:cs="Times New Roman" w:eastAsia="Times New Roman" w:hAnsi="Times New Roman"/>
          <w:sz w:val="13"/>
          <w:szCs w:val="13"/>
          <w:color w:val="auto"/>
        </w:rPr>
        <w:t xml:space="preserve"> hereof, and</w:t>
      </w:r>
    </w:p>
    <w:p>
      <w:pPr>
        <w:spacing w:after="0" w:line="1" w:lineRule="exact"/>
        <w:rPr>
          <w:sz w:val="20"/>
          <w:szCs w:val="20"/>
          <w:color w:val="auto"/>
        </w:rPr>
      </w:pPr>
    </w:p>
    <w:p>
      <w:pPr>
        <w:ind w:left="400" w:right="399" w:hanging="8"/>
        <w:spacing w:after="0" w:line="261" w:lineRule="auto"/>
        <w:tabs>
          <w:tab w:leader="none" w:pos="613" w:val="left"/>
        </w:tabs>
        <w:numPr>
          <w:ilvl w:val="0"/>
          <w:numId w:val="7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containing any other certification that the Agent shall reasonably request. The requirement to provide a certificate under this </w:t>
      </w:r>
      <w:r>
        <w:rPr>
          <w:rFonts w:ascii="Times New Roman" w:cs="Times New Roman" w:eastAsia="Times New Roman" w:hAnsi="Times New Roman"/>
          <w:sz w:val="13"/>
          <w:szCs w:val="13"/>
          <w:u w:val="single" w:color="auto"/>
          <w:color w:val="auto"/>
        </w:rPr>
        <w:t>Section 4(o)</w:t>
      </w:r>
      <w:r>
        <w:rPr>
          <w:rFonts w:ascii="Times New Roman" w:cs="Times New Roman" w:eastAsia="Times New Roman" w:hAnsi="Times New Roman"/>
          <w:sz w:val="13"/>
          <w:szCs w:val="13"/>
          <w:color w:val="auto"/>
        </w:rPr>
        <w:t xml:space="preserve"> shall be automatically waived with no further action of the Agent or Company for any Triggering Event Date occurring at a time when no Issuance Notice is pending or a suspension is in effect, which automatic waiver shall continue until the earlier to occur of the date the Company delivers instructions for the sale of Shares hereunder (which for such calendar quarter shall be considered a Triggering Event Date) and the next occurring Triggering Event Date. Notwithstanding the foregoing, if the Company subsequently decides to sell Shares following a Triggering Event Date when a suspension was in effect and did not provide the Agent with a certificate under this Section 4(o), then before the Company delivers the instructions for the sale of Shares or the Agent sells any Shares pursuant to such instructions, the Company shall provide the Agent with a certificate in conformity with this Section 4(o) dated as of the date that the instructions for the sale of Shares are issued.</w:t>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24</w:t>
      </w:r>
    </w:p>
    <w:p>
      <w:pPr>
        <w:sectPr>
          <w:pgSz w:w="11900" w:h="16838" w:orient="portrait"/>
          <w:cols w:equalWidth="0" w:num="1">
            <w:col w:w="9019"/>
          </w:cols>
          <w:pgMar w:left="1440" w:top="238" w:right="1440" w:bottom="1440" w:gutter="0" w:footer="0" w:header="0"/>
        </w:sectPr>
      </w:pPr>
    </w:p>
    <w:bookmarkStart w:id="129" w:name="page130"/>
    <w:bookmarkEnd w:id="129"/>
    <w:p>
      <w:pPr>
        <w:ind w:left="400" w:right="479" w:firstLine="321"/>
        <w:spacing w:after="0" w:line="263" w:lineRule="auto"/>
        <w:tabs>
          <w:tab w:leader="none" w:pos="919" w:val="left"/>
        </w:tabs>
        <w:numPr>
          <w:ilvl w:val="0"/>
          <w:numId w:val="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4">
                      <a:extLst>
                        <a:ext uri="{28A0092B-C50C-407E-A947-70E740481C1C}"/>
                      </a:extLst>
                    </a:blip>
                    <a:srcRect/>
                    <a:stretch>
                      <a:fillRect/>
                    </a:stretch>
                  </pic:blipFill>
                  <pic:spPr bwMode="auto">
                    <a:xfrm>
                      <a:off x="0" y="0"/>
                      <a:ext cx="7205345" cy="31750"/>
                    </a:xfrm>
                    <a:prstGeom prst="rect">
                      <a:avLst/>
                    </a:prstGeom>
                    <a:noFill/>
                  </pic:spPr>
                </pic:pic>
              </a:graphicData>
            </a:graphic>
          </wp:anchor>
        </w:drawing>
        <w:t>Legal Opinions.</w:t>
      </w:r>
      <w:r>
        <w:rPr>
          <w:rFonts w:ascii="Times New Roman" w:cs="Times New Roman" w:eastAsia="Times New Roman" w:hAnsi="Times New Roman"/>
          <w:sz w:val="13"/>
          <w:szCs w:val="13"/>
          <w:color w:val="auto"/>
        </w:rPr>
        <w:t xml:space="preserve"> On or prior to the date of the first Issuance Notice and on or prior to each Triggering Event Date with respect to which the Company is obligated to deliver a certificate pursuant to Section 4(o) for which no waiver is applicable and excluding the date of this Agreement, the Company shall cause to be furnished to the Agent a negative assurance letter and the written legal opinion of Jones Day, counsel to the Company, and the written legal opinion and negative assurance letter of Mintz, Levin, Cohn, Ferris, Glovsky and Popeo, P.C., counsel to the Agent, and the written legal opinion of Acuity Law Group, P.C., intellectual property counsel to the Company, each dated the date of delivery, in form and substance reasonably satisfactory to the Agent and its counsel, substantially similar to the form previously provided to the Agent and its counsel, modified, as necessary, to relate to the Registration Statement and the Prospectus as then amended or supplemented. In lieu of such opinions for subsequent periodic filings, in the discretion of the Agent, the Company may furnish a reliance letter from such counsel to the Agent, permitting the Agent to rely on a previously delivered opinion letter, modified as appropriate for any passage of time or Triggering Event Date (except that statements in such prior opinion shall be deemed to relate to the Registration Statement and the Prospectus as amended or supplemented as of such Triggering Event Date).</w:t>
      </w:r>
    </w:p>
    <w:p>
      <w:pPr>
        <w:spacing w:after="0" w:line="135" w:lineRule="exact"/>
        <w:rPr>
          <w:rFonts w:ascii="Times New Roman" w:cs="Times New Roman" w:eastAsia="Times New Roman" w:hAnsi="Times New Roman"/>
          <w:sz w:val="13"/>
          <w:szCs w:val="13"/>
          <w:color w:val="auto"/>
        </w:rPr>
      </w:pPr>
    </w:p>
    <w:p>
      <w:pPr>
        <w:ind w:left="400" w:right="439" w:firstLine="321"/>
        <w:spacing w:after="0" w:line="262" w:lineRule="auto"/>
        <w:tabs>
          <w:tab w:leader="none" w:pos="919" w:val="left"/>
        </w:tabs>
        <w:numPr>
          <w:ilvl w:val="0"/>
          <w:numId w:val="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Comfort Letter</w:t>
      </w:r>
      <w:r>
        <w:rPr>
          <w:rFonts w:ascii="Times New Roman" w:cs="Times New Roman" w:eastAsia="Times New Roman" w:hAnsi="Times New Roman"/>
          <w:sz w:val="13"/>
          <w:szCs w:val="13"/>
          <w:color w:val="auto"/>
        </w:rPr>
        <w:t>. On or prior to the date of the first Issuance Notice and on or prior to each Triggering Event Date with respect to which the Company is obligated to deliver a certificate pursuant to Section 4(o) for which no waiver is applicable and excluding the date of this Agreement, the Company shall cause BDO USA, P.C., the independent registered public accounting firm who has audited the financial statements included or incorporated by reference in the Registration Statement, to furnish the Agent a comfort letter, dated the date of delivery, in form and substance reasonably satisfactory to the Agent and its counsel, substantially similar to the form previously provided to the Agent and its counsel; provided, however, that any such comfort letter will only be required on the Triggering Event Date specified to the extent that it contains financial statements filed with the Commission under the Exchange Act and incorporated or deemed to be incorporated by reference into the Prospectus. At any time when an Issuance Notice is or becomes outstanding, if requested by the Agent, the Company shall also cause a comfort letter to be furnished to the Agent on the date of occurrence of any material transaction or event requiring the filing of a current report on Form 8-K containing material amended financial information of the Company, including the restatement of the Company’s financial statements. The Company shall be required to furnish no more than one comfort letter hereunder per calendar quarter.</w:t>
      </w: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25</w:t>
      </w:r>
    </w:p>
    <w:p>
      <w:pPr>
        <w:sectPr>
          <w:pgSz w:w="11900" w:h="16838" w:orient="portrait"/>
          <w:cols w:equalWidth="0" w:num="1">
            <w:col w:w="9019"/>
          </w:cols>
          <w:pgMar w:left="1440" w:top="238" w:right="1440" w:bottom="1440" w:gutter="0" w:footer="0" w:header="0"/>
        </w:sectPr>
      </w:pPr>
    </w:p>
    <w:bookmarkStart w:id="130" w:name="page131"/>
    <w:bookmarkEnd w:id="130"/>
    <w:p>
      <w:pPr>
        <w:ind w:left="400" w:right="419" w:firstLine="321"/>
        <w:spacing w:after="0" w:line="264" w:lineRule="auto"/>
        <w:tabs>
          <w:tab w:leader="none" w:pos="896" w:val="left"/>
        </w:tabs>
        <w:numPr>
          <w:ilvl w:val="1"/>
          <w:numId w:val="7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5">
                      <a:extLst>
                        <a:ext uri="{28A0092B-C50C-407E-A947-70E740481C1C}"/>
                      </a:extLst>
                    </a:blip>
                    <a:srcRect/>
                    <a:stretch>
                      <a:fillRect/>
                    </a:stretch>
                  </pic:blipFill>
                  <pic:spPr bwMode="auto">
                    <a:xfrm>
                      <a:off x="0" y="0"/>
                      <a:ext cx="7205345" cy="31750"/>
                    </a:xfrm>
                    <a:prstGeom prst="rect">
                      <a:avLst/>
                    </a:prstGeom>
                    <a:noFill/>
                  </pic:spPr>
                </pic:pic>
              </a:graphicData>
            </a:graphic>
          </wp:anchor>
        </w:drawing>
        <w:t>Secretary’s Certificate</w:t>
      </w:r>
      <w:r>
        <w:rPr>
          <w:rFonts w:ascii="Times New Roman" w:cs="Times New Roman" w:eastAsia="Times New Roman" w:hAnsi="Times New Roman"/>
          <w:sz w:val="13"/>
          <w:szCs w:val="13"/>
          <w:color w:val="auto"/>
        </w:rPr>
        <w:t>. On or prior to the date of the first Issuance Notice and on or prior to each Triggering Event Date with respect to which the Company is obligated to deliver a certificate pursuant to Section 4(o) for which no waiver is applicable, the Company shall furnish the Agent a certificate executed by the Secretary of the Company, signing in such capacity, dated the date of delivery (i) certifying that attached thereto are true and complete copies of the resolutions duly adopted by the Board of Directors of the Company authorizing the execution and delivery of this Agreement and the consummation of the transactions contemplated hereby (including, without limitation, the issuance of the Shares pursuant to this Agreement), which authorization shall be in full force and effect on and as of the date of such certificate, (ii) certifying and attesting to the office, incumbency, due authority and specimen signatures of each Person who executed this Agreement for or on behalf of the Company, and (iii) containing any other customary certification that the Agent shall reasonably request.</w:t>
      </w:r>
    </w:p>
    <w:p>
      <w:pPr>
        <w:spacing w:after="0" w:line="135" w:lineRule="exact"/>
        <w:rPr>
          <w:rFonts w:ascii="Times New Roman" w:cs="Times New Roman" w:eastAsia="Times New Roman" w:hAnsi="Times New Roman"/>
          <w:sz w:val="13"/>
          <w:szCs w:val="13"/>
          <w:color w:val="auto"/>
        </w:rPr>
      </w:pPr>
    </w:p>
    <w:p>
      <w:pPr>
        <w:ind w:left="400" w:right="699" w:firstLine="321"/>
        <w:spacing w:after="0" w:line="297" w:lineRule="auto"/>
        <w:tabs>
          <w:tab w:leader="none" w:pos="904" w:val="left"/>
        </w:tabs>
        <w:numPr>
          <w:ilvl w:val="1"/>
          <w:numId w:val="7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Agent’s Own Account; Clients’ Account</w:t>
      </w:r>
      <w:r>
        <w:rPr>
          <w:rFonts w:ascii="Times New Roman" w:cs="Times New Roman" w:eastAsia="Times New Roman" w:hAnsi="Times New Roman"/>
          <w:sz w:val="13"/>
          <w:szCs w:val="13"/>
          <w:color w:val="auto"/>
        </w:rPr>
        <w:t>. The Company consents to the Agent trading, in compliance with applicable law, in the Common Shares for the Agent’s own account and for the account of its clients at the same time as sales of the Shares occur pursuant to this Agreement.</w:t>
      </w:r>
    </w:p>
    <w:p>
      <w:pPr>
        <w:spacing w:after="0" w:line="113" w:lineRule="exact"/>
        <w:rPr>
          <w:rFonts w:ascii="Times New Roman" w:cs="Times New Roman" w:eastAsia="Times New Roman" w:hAnsi="Times New Roman"/>
          <w:sz w:val="13"/>
          <w:szCs w:val="13"/>
          <w:color w:val="auto"/>
        </w:rPr>
      </w:pPr>
    </w:p>
    <w:p>
      <w:pPr>
        <w:jc w:val="both"/>
        <w:ind w:left="400" w:right="579" w:firstLine="321"/>
        <w:spacing w:after="0" w:line="278" w:lineRule="auto"/>
        <w:tabs>
          <w:tab w:leader="none" w:pos="889" w:val="left"/>
        </w:tabs>
        <w:numPr>
          <w:ilvl w:val="1"/>
          <w:numId w:val="7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Investment Limitation</w:t>
      </w:r>
      <w:r>
        <w:rPr>
          <w:rFonts w:ascii="Times New Roman" w:cs="Times New Roman" w:eastAsia="Times New Roman" w:hAnsi="Times New Roman"/>
          <w:sz w:val="13"/>
          <w:szCs w:val="13"/>
          <w:color w:val="auto"/>
        </w:rPr>
        <w:t>. The Company shall not invest, or otherwise use the proceeds received by the Company from its sale of the Shares in such a manner as would require the Company or any of its subsidiaries to register as an “investment company” under the Investment Company Act of 1940, as amended.</w:t>
      </w:r>
    </w:p>
    <w:p>
      <w:pPr>
        <w:spacing w:after="0" w:line="125" w:lineRule="exact"/>
        <w:rPr>
          <w:rFonts w:ascii="Times New Roman" w:cs="Times New Roman" w:eastAsia="Times New Roman" w:hAnsi="Times New Roman"/>
          <w:sz w:val="13"/>
          <w:szCs w:val="13"/>
          <w:color w:val="auto"/>
        </w:rPr>
      </w:pPr>
    </w:p>
    <w:p>
      <w:pPr>
        <w:ind w:left="400" w:right="519" w:firstLine="321"/>
        <w:spacing w:after="0" w:line="261" w:lineRule="auto"/>
        <w:tabs>
          <w:tab w:leader="none" w:pos="919" w:val="left"/>
        </w:tabs>
        <w:numPr>
          <w:ilvl w:val="1"/>
          <w:numId w:val="7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Market Activities</w:t>
      </w:r>
      <w:r>
        <w:rPr>
          <w:rFonts w:ascii="Times New Roman" w:cs="Times New Roman" w:eastAsia="Times New Roman" w:hAnsi="Times New Roman"/>
          <w:sz w:val="13"/>
          <w:szCs w:val="13"/>
          <w:color w:val="auto"/>
        </w:rPr>
        <w:t>. The Company will not take, directly or indirectly, any action designed to or that might be reasonably expected to cause or result in stabilization or manipulation of the price of the Shares or any other reference security, whether to facilitate the sale or resale of the Shares or otherwise, and the Company will, and shall cause each of its Affiliates to, comply with all applicable provisions of Regulation M. If the limitations of Rule 102 of Regulation M (“</w:t>
      </w:r>
      <w:r>
        <w:rPr>
          <w:rFonts w:ascii="Times New Roman" w:cs="Times New Roman" w:eastAsia="Times New Roman" w:hAnsi="Times New Roman"/>
          <w:sz w:val="13"/>
          <w:szCs w:val="13"/>
          <w:b w:val="1"/>
          <w:bCs w:val="1"/>
          <w:color w:val="auto"/>
        </w:rPr>
        <w:t>Rule 102</w:t>
      </w:r>
      <w:r>
        <w:rPr>
          <w:rFonts w:ascii="Times New Roman" w:cs="Times New Roman" w:eastAsia="Times New Roman" w:hAnsi="Times New Roman"/>
          <w:sz w:val="13"/>
          <w:szCs w:val="13"/>
          <w:color w:val="auto"/>
        </w:rPr>
        <w:t>”) do not apply with respect to the Shares or any other reference security pursuant to any exception set forth in Section (d) of Rule 102, then promptly upon notice from the Agent (or, if later, at the time stated in the notice), the Company will, and shall cause each of its Affiliates to, comply with Rule 102 as though such exception were not available but the other provisions of Rule 102 (as interpreted by the Commission) did apply. The Company shall promptly notify the Agent if it meets the requirements set forth in Section (d) of Rule 102 (the “</w:t>
      </w:r>
      <w:r>
        <w:rPr>
          <w:rFonts w:ascii="Times New Roman" w:cs="Times New Roman" w:eastAsia="Times New Roman" w:hAnsi="Times New Roman"/>
          <w:sz w:val="13"/>
          <w:szCs w:val="13"/>
          <w:b w:val="1"/>
          <w:bCs w:val="1"/>
          <w:color w:val="auto"/>
        </w:rPr>
        <w:t>Rule 102</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Exception Notice</w:t>
      </w:r>
      <w:r>
        <w:rPr>
          <w:rFonts w:ascii="Times New Roman" w:cs="Times New Roman" w:eastAsia="Times New Roman" w:hAnsi="Times New Roman"/>
          <w:sz w:val="13"/>
          <w:szCs w:val="13"/>
          <w:color w:val="auto"/>
        </w:rPr>
        <w:t>”). If following the delivery of the Rule 102 Exception Notice, the Company no longer meets the requirements set forth in Section</w:t>
      </w:r>
    </w:p>
    <w:p>
      <w:pPr>
        <w:spacing w:after="0" w:line="1" w:lineRule="exact"/>
        <w:rPr>
          <w:rFonts w:ascii="Times New Roman" w:cs="Times New Roman" w:eastAsia="Times New Roman" w:hAnsi="Times New Roman"/>
          <w:sz w:val="13"/>
          <w:szCs w:val="13"/>
          <w:color w:val="auto"/>
        </w:rPr>
      </w:pPr>
    </w:p>
    <w:p>
      <w:pPr>
        <w:ind w:left="580" w:hanging="188"/>
        <w:spacing w:after="0"/>
        <w:tabs>
          <w:tab w:leader="none" w:pos="580" w:val="left"/>
        </w:tabs>
        <w:numPr>
          <w:ilvl w:val="0"/>
          <w:numId w:val="7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of Rule 102, the Company shall promptly so notify the Agent.</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26</w:t>
      </w:r>
    </w:p>
    <w:p>
      <w:pPr>
        <w:sectPr>
          <w:pgSz w:w="11900" w:h="16838" w:orient="portrait"/>
          <w:cols w:equalWidth="0" w:num="1">
            <w:col w:w="9019"/>
          </w:cols>
          <w:pgMar w:left="1440" w:top="238" w:right="1440" w:bottom="1440" w:gutter="0" w:footer="0" w:header="0"/>
        </w:sectPr>
      </w:pPr>
    </w:p>
    <w:bookmarkStart w:id="131" w:name="page132"/>
    <w:bookmarkEnd w:id="131"/>
    <w:p>
      <w:pPr>
        <w:ind w:left="400" w:right="399" w:firstLine="321"/>
        <w:spacing w:after="0" w:line="260" w:lineRule="auto"/>
        <w:tabs>
          <w:tab w:leader="none" w:pos="919" w:val="left"/>
        </w:tabs>
        <w:numPr>
          <w:ilvl w:val="1"/>
          <w:numId w:val="7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6">
                      <a:extLst>
                        <a:ext uri="{28A0092B-C50C-407E-A947-70E740481C1C}"/>
                      </a:extLst>
                    </a:blip>
                    <a:srcRect/>
                    <a:stretch>
                      <a:fillRect/>
                    </a:stretch>
                  </pic:blipFill>
                  <pic:spPr bwMode="auto">
                    <a:xfrm>
                      <a:off x="0" y="0"/>
                      <a:ext cx="7205345" cy="31750"/>
                    </a:xfrm>
                    <a:prstGeom prst="rect">
                      <a:avLst/>
                    </a:prstGeom>
                    <a:noFill/>
                  </pic:spPr>
                </pic:pic>
              </a:graphicData>
            </a:graphic>
          </wp:anchor>
        </w:drawing>
        <w:t>Notice of Other Sale</w:t>
      </w:r>
      <w:r>
        <w:rPr>
          <w:rFonts w:ascii="Times New Roman" w:cs="Times New Roman" w:eastAsia="Times New Roman" w:hAnsi="Times New Roman"/>
          <w:sz w:val="13"/>
          <w:szCs w:val="13"/>
          <w:color w:val="auto"/>
        </w:rPr>
        <w:t>. Without the written consent of the Agent, the Company will not, directly or indirectly, offer to sell, sell, contract to sell, grant any option to sell or otherwise dispose of any Common Shares or securities convertible into or exchangeable for Common Shares (other than Shares hereunder), warrants or any rights to purchase or acquire Common Shares, during the period beginning on the third Trading Day immediately prior to the date on which any Issuance Notice is delivered to the Agent hereunder and ending on the third Trading Day immediately following the Settlement Date with respect to Shares sold pursuant to such Issuance Notice; and will not directly or indirectly enter into any other “at the market” or continuous equity transaction to offer to sell, sell, contract to sell, grant any option to sell or otherwise dispose of any Common Shares (other than the Shares offered pursuant to this Agreement) or securities convertible into or exchangeable for Common Shares, warrants or any rights to purchase or acquire, Common Shares prior to the termination of this Agreement; provided, however, that such restrictions will not be required in connection with the Company’s (i) issuance or sale of Common Shares, options to purchase Common Shares, restricted stock units, performance units or Common Shares issuable upon the exercise of options, settlement of restricted stock units or performance units or other equity awards pursuant to any employee (including consultants) or director share option, incentive or benefit plan, share purchase or ownership plan, long-term incentive plan, dividend reinvestment plan, inducement award under Principal Market rules or other compensation plan of the Company or its subsidiaries, that is disclosed in the Registration Statement and the Prospectus, (ii) issuance or sale of Common Shares issuable upon exchange, conversion or redemption of securities or the exercise or vesting of warrants, options or other equity awards outstanding at the date of this Agreement or disclosed in the Registration Statement and the Prospectus (including, for the avoidance of doubt, the conversion of any shares of the Company’s Class B common stock, par value $0.0001 per share, into shares of Common Stock), (iii) modification of any outstanding options, warrants or any rights to purchase or acquire Common Shares,</w:t>
      </w:r>
    </w:p>
    <w:p>
      <w:pPr>
        <w:spacing w:after="0" w:line="1" w:lineRule="exact"/>
        <w:rPr>
          <w:rFonts w:ascii="Times New Roman" w:cs="Times New Roman" w:eastAsia="Times New Roman" w:hAnsi="Times New Roman"/>
          <w:sz w:val="13"/>
          <w:szCs w:val="13"/>
          <w:color w:val="auto"/>
        </w:rPr>
      </w:pPr>
    </w:p>
    <w:p>
      <w:pPr>
        <w:ind w:left="400" w:right="419" w:hanging="8"/>
        <w:spacing w:after="0" w:line="258" w:lineRule="auto"/>
        <w:tabs>
          <w:tab w:leader="none" w:pos="628" w:val="left"/>
        </w:tabs>
        <w:numPr>
          <w:ilvl w:val="0"/>
          <w:numId w:val="7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Common Shares or securities convertible into or exchangeable for Common Shares as consideration for mergers, acquisitions, other business combinations, collaboration agreements, joint ventures or strategic alliances occurring after the date of this Agreement, which are not issued primarily for capital raising purposes, and (v) filing of any registration statement filed for the purpose of registering Common Shares for resale, consistent with the Registration Rights Agreement dated May 31, 2023, as amended by Amendment No. 1 thereto, dated December 27, 2023, or any actions taken in furtherance of any offer or sale contemplated by such agreement or the plan of distribution set forth in such registration statement, provided, however, that if any Issuance Notice is pending, the Company will not issue Common Shares pursuant to clause (iv) of this Section 4(v) while such Issuance Notice is pending if, following such issuance, the number of Common Shares issuable in connection with all such issuances pursuant to clause</w:t>
      </w:r>
    </w:p>
    <w:p>
      <w:pPr>
        <w:spacing w:after="0" w:line="3" w:lineRule="exact"/>
        <w:rPr>
          <w:rFonts w:ascii="Times New Roman" w:cs="Times New Roman" w:eastAsia="Times New Roman" w:hAnsi="Times New Roman"/>
          <w:sz w:val="13"/>
          <w:szCs w:val="13"/>
          <w:color w:val="auto"/>
        </w:rPr>
      </w:pPr>
    </w:p>
    <w:p>
      <w:pPr>
        <w:ind w:left="620" w:hanging="228"/>
        <w:spacing w:after="0"/>
        <w:tabs>
          <w:tab w:leader="none" w:pos="620" w:val="left"/>
        </w:tabs>
        <w:numPr>
          <w:ilvl w:val="0"/>
          <w:numId w:val="7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would exceed 5% of the aggregate number of Common Shares outstanding immediately prior to giving effect to such issuance.</w:t>
      </w:r>
    </w:p>
    <w:p>
      <w:pPr>
        <w:spacing w:after="0" w:line="23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3"/>
          <w:szCs w:val="13"/>
          <w:b w:val="1"/>
          <w:bCs w:val="1"/>
          <w:color w:val="auto"/>
        </w:rPr>
        <w:t>Section 5. CONDITIONS TO DELIVERY OF ISSUANCE NOTICES AND TO SETTLEMENT</w:t>
      </w:r>
    </w:p>
    <w:p>
      <w:pPr>
        <w:spacing w:after="0" w:line="96" w:lineRule="exact"/>
        <w:rPr>
          <w:sz w:val="20"/>
          <w:szCs w:val="20"/>
          <w:color w:val="auto"/>
        </w:rPr>
      </w:pPr>
    </w:p>
    <w:p>
      <w:pPr>
        <w:ind w:left="400" w:right="459" w:firstLine="321"/>
        <w:spacing w:after="0" w:line="271" w:lineRule="auto"/>
        <w:tabs>
          <w:tab w:leader="none" w:pos="911" w:val="left"/>
        </w:tabs>
        <w:numPr>
          <w:ilvl w:val="0"/>
          <w:numId w:val="8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Conditions Precedent to the Right of the Company to Deliver an Issuance Notice and the Obligation of the Agent to Sell Shares</w:t>
      </w:r>
      <w:r>
        <w:rPr>
          <w:rFonts w:ascii="Times New Roman" w:cs="Times New Roman" w:eastAsia="Times New Roman" w:hAnsi="Times New Roman"/>
          <w:sz w:val="13"/>
          <w:szCs w:val="13"/>
          <w:color w:val="auto"/>
        </w:rPr>
        <w:t>. The right of the Company to deliver an Issuance Notice hereunder is subject to the satisfaction, on the date of delivery of such Issuance Notice, and the obligation of the Agent to use its commercially reasonable efforts to place Shares during the applicable period set forth in the Issuance Notice is subject to the satisfaction, on each Trading Day during the applicable period set forth in the Issuance Notice, of each of the following conditions:</w:t>
      </w:r>
    </w:p>
    <w:p>
      <w:pPr>
        <w:spacing w:after="0" w:line="60" w:lineRule="exact"/>
        <w:rPr>
          <w:rFonts w:ascii="Times New Roman" w:cs="Times New Roman" w:eastAsia="Times New Roman" w:hAnsi="Times New Roman"/>
          <w:sz w:val="13"/>
          <w:szCs w:val="13"/>
          <w:color w:val="auto"/>
        </w:rPr>
      </w:pPr>
    </w:p>
    <w:p>
      <w:pPr>
        <w:ind w:left="1120" w:right="399" w:hanging="405"/>
        <w:spacing w:after="0" w:line="268" w:lineRule="auto"/>
        <w:tabs>
          <w:tab w:leader="none" w:pos="1120" w:val="left"/>
        </w:tabs>
        <w:numPr>
          <w:ilvl w:val="0"/>
          <w:numId w:val="8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Accuracy of the Company’s Representations and Warranties; Performance by the Company</w:t>
      </w:r>
      <w:r>
        <w:rPr>
          <w:rFonts w:ascii="Times New Roman" w:cs="Times New Roman" w:eastAsia="Times New Roman" w:hAnsi="Times New Roman"/>
          <w:sz w:val="13"/>
          <w:szCs w:val="13"/>
          <w:color w:val="auto"/>
        </w:rPr>
        <w:t xml:space="preserve">. The Company shall have delivered the certificate required to be delivered pursuant to </w:t>
      </w:r>
      <w:r>
        <w:rPr>
          <w:rFonts w:ascii="Times New Roman" w:cs="Times New Roman" w:eastAsia="Times New Roman" w:hAnsi="Times New Roman"/>
          <w:sz w:val="13"/>
          <w:szCs w:val="13"/>
          <w:u w:val="single" w:color="auto"/>
          <w:color w:val="auto"/>
        </w:rPr>
        <w:t>Section 4(o)</w:t>
      </w:r>
      <w:r>
        <w:rPr>
          <w:rFonts w:ascii="Times New Roman" w:cs="Times New Roman" w:eastAsia="Times New Roman" w:hAnsi="Times New Roman"/>
          <w:sz w:val="13"/>
          <w:szCs w:val="13"/>
          <w:color w:val="auto"/>
        </w:rPr>
        <w:t xml:space="preserve"> on or before the date on which delivery of such certificate is required pursuant to </w:t>
      </w:r>
      <w:r>
        <w:rPr>
          <w:rFonts w:ascii="Times New Roman" w:cs="Times New Roman" w:eastAsia="Times New Roman" w:hAnsi="Times New Roman"/>
          <w:sz w:val="13"/>
          <w:szCs w:val="13"/>
          <w:u w:val="single" w:color="auto"/>
          <w:color w:val="auto"/>
        </w:rPr>
        <w:t>Section 4(o)</w:t>
      </w:r>
      <w:r>
        <w:rPr>
          <w:rFonts w:ascii="Times New Roman" w:cs="Times New Roman" w:eastAsia="Times New Roman" w:hAnsi="Times New Roman"/>
          <w:sz w:val="13"/>
          <w:szCs w:val="13"/>
          <w:color w:val="auto"/>
        </w:rPr>
        <w:t xml:space="preserve">. The Company shall have performed, satisfied and complied with all covenants, agreements and conditions required by this Agreement to be performed, satisfied or complied with by the Company at or prior to such date, including, but not limited to, the covenants contained in </w:t>
      </w:r>
      <w:r>
        <w:rPr>
          <w:rFonts w:ascii="Times New Roman" w:cs="Times New Roman" w:eastAsia="Times New Roman" w:hAnsi="Times New Roman"/>
          <w:sz w:val="13"/>
          <w:szCs w:val="13"/>
          <w:u w:val="single" w:color="auto"/>
          <w:color w:val="auto"/>
        </w:rPr>
        <w:t>Section 4(p)</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Section 4(q)</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Section 4(r)</w:t>
      </w:r>
      <w:r>
        <w:rPr>
          <w:rFonts w:ascii="Times New Roman" w:cs="Times New Roman" w:eastAsia="Times New Roman" w:hAnsi="Times New Roman"/>
          <w:sz w:val="13"/>
          <w:szCs w:val="13"/>
          <w:color w:val="auto"/>
        </w:rPr>
        <w:t>.</w:t>
      </w:r>
    </w:p>
    <w:p>
      <w:pPr>
        <w:spacing w:after="0" w:line="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27</w:t>
      </w:r>
    </w:p>
    <w:p>
      <w:pPr>
        <w:sectPr>
          <w:pgSz w:w="11900" w:h="16838" w:orient="portrait"/>
          <w:cols w:equalWidth="0" w:num="1">
            <w:col w:w="9019"/>
          </w:cols>
          <w:pgMar w:left="1440" w:top="238" w:right="1440" w:bottom="1440" w:gutter="0" w:footer="0" w:header="0"/>
        </w:sectPr>
      </w:pPr>
    </w:p>
    <w:bookmarkStart w:id="132" w:name="page133"/>
    <w:bookmarkEnd w:id="132"/>
    <w:p>
      <w:pPr>
        <w:ind w:left="1120" w:right="459" w:hanging="405"/>
        <w:spacing w:after="0" w:line="268" w:lineRule="auto"/>
        <w:tabs>
          <w:tab w:leader="none" w:pos="1120" w:val="left"/>
        </w:tabs>
        <w:numPr>
          <w:ilvl w:val="0"/>
          <w:numId w:val="8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7">
                      <a:extLst>
                        <a:ext uri="{28A0092B-C50C-407E-A947-70E740481C1C}"/>
                      </a:extLst>
                    </a:blip>
                    <a:srcRect/>
                    <a:stretch>
                      <a:fillRect/>
                    </a:stretch>
                  </pic:blipFill>
                  <pic:spPr bwMode="auto">
                    <a:xfrm>
                      <a:off x="0" y="0"/>
                      <a:ext cx="7205345" cy="31750"/>
                    </a:xfrm>
                    <a:prstGeom prst="rect">
                      <a:avLst/>
                    </a:prstGeom>
                    <a:noFill/>
                  </pic:spPr>
                </pic:pic>
              </a:graphicData>
            </a:graphic>
          </wp:anchor>
        </w:drawing>
        <w:t>No Injunction</w:t>
      </w:r>
      <w:r>
        <w:rPr>
          <w:rFonts w:ascii="Times New Roman" w:cs="Times New Roman" w:eastAsia="Times New Roman" w:hAnsi="Times New Roman"/>
          <w:sz w:val="13"/>
          <w:szCs w:val="13"/>
          <w:color w:val="auto"/>
        </w:rPr>
        <w:t>. No statute, rule, regulation, executive order, decree, ruling or injunction shall have been enacted, entered, promulgated or endorsed by any court or governmental authority of competent jurisdiction or any self-regulatory organization having authority over the matters contemplated hereby that prohibits or directly and materially adversely affects any of the transactions contemplated by this Agreement, and no proceeding shall have been commenced that may have the effect of prohibiting or materially adversely affecting any of the transactions contemplated by this Agreement.</w:t>
      </w:r>
    </w:p>
    <w:p>
      <w:pPr>
        <w:spacing w:after="0" w:line="62" w:lineRule="exact"/>
        <w:rPr>
          <w:rFonts w:ascii="Times New Roman" w:cs="Times New Roman" w:eastAsia="Times New Roman" w:hAnsi="Times New Roman"/>
          <w:sz w:val="13"/>
          <w:szCs w:val="13"/>
          <w:color w:val="auto"/>
        </w:rPr>
      </w:pPr>
    </w:p>
    <w:p>
      <w:pPr>
        <w:ind w:left="1120" w:right="479" w:hanging="405"/>
        <w:spacing w:after="0" w:line="268" w:lineRule="auto"/>
        <w:tabs>
          <w:tab w:leader="none" w:pos="1120" w:val="left"/>
        </w:tabs>
        <w:numPr>
          <w:ilvl w:val="0"/>
          <w:numId w:val="8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Material Adverse Changes</w:t>
      </w:r>
      <w:r>
        <w:rPr>
          <w:rFonts w:ascii="Times New Roman" w:cs="Times New Roman" w:eastAsia="Times New Roman" w:hAnsi="Times New Roman"/>
          <w:sz w:val="13"/>
          <w:szCs w:val="13"/>
          <w:color w:val="auto"/>
        </w:rPr>
        <w:t>. Except as disclosed in the Prospectus and the Time of Sale Information, (a) in the judgment of the Agent there shall not have occurred any Material Adverse Change; and (b) there shall not have occurred any downgrading, nor shall any notice have been given of any intended or potential downgrading or of any review for a possible change that does not indicate the direction of the possible change, in the rating accorded any securities of the Company or any of its subsidiaries by any “nationally recognized statistical rating organization” as such term is defined for purposes of Section 3(a)(62) of the Exchange Act.</w:t>
      </w:r>
    </w:p>
    <w:p>
      <w:pPr>
        <w:spacing w:after="0" w:line="62" w:lineRule="exact"/>
        <w:rPr>
          <w:rFonts w:ascii="Times New Roman" w:cs="Times New Roman" w:eastAsia="Times New Roman" w:hAnsi="Times New Roman"/>
          <w:sz w:val="13"/>
          <w:szCs w:val="13"/>
          <w:color w:val="auto"/>
        </w:rPr>
      </w:pPr>
    </w:p>
    <w:p>
      <w:pPr>
        <w:ind w:left="1120" w:right="419" w:hanging="405"/>
        <w:spacing w:after="0" w:line="262" w:lineRule="auto"/>
        <w:tabs>
          <w:tab w:leader="none" w:pos="1120" w:val="left"/>
        </w:tabs>
        <w:numPr>
          <w:ilvl w:val="0"/>
          <w:numId w:val="8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No Suspension of Trading in or Delisting of Common Shares; Other Events</w:t>
      </w:r>
      <w:r>
        <w:rPr>
          <w:rFonts w:ascii="Times New Roman" w:cs="Times New Roman" w:eastAsia="Times New Roman" w:hAnsi="Times New Roman"/>
          <w:sz w:val="13"/>
          <w:szCs w:val="13"/>
          <w:color w:val="auto"/>
        </w:rPr>
        <w:t>. The trading of the Common Shares (including without limitation the Shares) shall not have been suspended by the Commission, the Principal Market or FINRA and the Common Shares (including without limitation the Shares) shall have been approved for listing or quotation on and shall not have been delisted from the Nasdaq Stock Market, the New York Stock Exchange or any of their constituent markets. There shall not have occurred (and be continuing in the case of occurrences under clauses (i) and (ii) below) any of the following: (i) trading or quotation in any of the Company’s securities shall have been suspended or limited by the Commission or by the Principal Market or trading in securities generally on the Principal Market either shall have been suspended or limited, or minimum or maximum prices shall have been generally established on any of such stock exchanges by the Commission or FINRA; (ii) a general banking moratorium shall have been declared by any of federal or New York, authorities; or (iii) there shall have occurred any outbreak or escalation of national or international hostilities or any crisis or calamity, or any change in the United States or international financial markets, or any substantial change or development involving a prospective substantial change in the United States’ or international political, financial or economic conditions, as in the judgment of the Agent is material and adverse and makes it impracticable to market the Shares in the manner and on the terms described in the Prospectus or to enforce contracts for the sale of securities.</w:t>
      </w:r>
    </w:p>
    <w:p>
      <w:pPr>
        <w:spacing w:after="0" w:line="299" w:lineRule="exact"/>
        <w:rPr>
          <w:rFonts w:ascii="Times New Roman" w:cs="Times New Roman" w:eastAsia="Times New Roman" w:hAnsi="Times New Roman"/>
          <w:sz w:val="13"/>
          <w:szCs w:val="13"/>
          <w:color w:val="auto"/>
        </w:rPr>
      </w:pPr>
    </w:p>
    <w:p>
      <w:pPr>
        <w:ind w:left="400" w:right="459" w:firstLine="321"/>
        <w:spacing w:after="0" w:line="268" w:lineRule="auto"/>
        <w:tabs>
          <w:tab w:leader="none" w:pos="919" w:val="left"/>
        </w:tabs>
        <w:numPr>
          <w:ilvl w:val="1"/>
          <w:numId w:val="8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Documents Required to be Delivered on each Issuance Notice Date</w:t>
      </w:r>
      <w:r>
        <w:rPr>
          <w:rFonts w:ascii="Times New Roman" w:cs="Times New Roman" w:eastAsia="Times New Roman" w:hAnsi="Times New Roman"/>
          <w:sz w:val="13"/>
          <w:szCs w:val="13"/>
          <w:color w:val="auto"/>
        </w:rPr>
        <w:t>. The Agent’s obligation to use its commercially reasonable efforts to place Shares hereunder shall additionally be conditioned upon the delivery to the Agent on or before the Issuance Notice Date of a certificate in form and substance reasonably satisfactory to the Agent, executed by the Chief Executive Officer, President or Chief Financial Officer of the Company, to the effect that all conditions to the delivery of such Issuance Notice shall have been satisfied as at the date of such certificate (which certificate shall not be required if the foregoing representations shall be set forth in the Issuance Notice).</w:t>
      </w:r>
    </w:p>
    <w:p>
      <w:pPr>
        <w:spacing w:after="0" w:line="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28</w:t>
      </w:r>
    </w:p>
    <w:p>
      <w:pPr>
        <w:sectPr>
          <w:pgSz w:w="11900" w:h="16838" w:orient="portrait"/>
          <w:cols w:equalWidth="0" w:num="1">
            <w:col w:w="9019"/>
          </w:cols>
          <w:pgMar w:left="1440" w:top="237" w:right="1440" w:bottom="1440" w:gutter="0" w:footer="0" w:header="0"/>
        </w:sectPr>
      </w:pPr>
    </w:p>
    <w:bookmarkStart w:id="133" w:name="page134"/>
    <w:bookmarkEnd w:id="133"/>
    <w:p>
      <w:pPr>
        <w:ind w:left="400" w:right="439" w:firstLine="321"/>
        <w:spacing w:after="0" w:line="271" w:lineRule="auto"/>
        <w:tabs>
          <w:tab w:leader="none" w:pos="911" w:val="left"/>
        </w:tabs>
        <w:numPr>
          <w:ilvl w:val="0"/>
          <w:numId w:val="8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8">
                      <a:extLst>
                        <a:ext uri="{28A0092B-C50C-407E-A947-70E740481C1C}"/>
                      </a:extLst>
                    </a:blip>
                    <a:srcRect/>
                    <a:stretch>
                      <a:fillRect/>
                    </a:stretch>
                  </pic:blipFill>
                  <pic:spPr bwMode="auto">
                    <a:xfrm>
                      <a:off x="0" y="0"/>
                      <a:ext cx="7205345" cy="31750"/>
                    </a:xfrm>
                    <a:prstGeom prst="rect">
                      <a:avLst/>
                    </a:prstGeom>
                    <a:noFill/>
                  </pic:spPr>
                </pic:pic>
              </a:graphicData>
            </a:graphic>
          </wp:anchor>
        </w:drawing>
        <w:t>No Misstatement or Material Omission</w:t>
      </w:r>
      <w:r>
        <w:rPr>
          <w:rFonts w:ascii="Times New Roman" w:cs="Times New Roman" w:eastAsia="Times New Roman" w:hAnsi="Times New Roman"/>
          <w:sz w:val="13"/>
          <w:szCs w:val="13"/>
          <w:color w:val="auto"/>
        </w:rPr>
        <w:t>. The Agent shall not have advised the Company that the Registration Statement, the Prospectus or the Time of Sale Information, or any amendment or supplement thereto, contains an untrue statement of fact that in the Agent’s reasonable opinion is material, or omits to state a fact that in the Agent’s reasonable opinion is material and is required to be stated therein or is necessary in order to make the statements therein not misleading.</w:t>
      </w:r>
    </w:p>
    <w:p>
      <w:pPr>
        <w:spacing w:after="0" w:line="20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3"/>
          <w:szCs w:val="13"/>
          <w:b w:val="1"/>
          <w:bCs w:val="1"/>
          <w:color w:val="auto"/>
        </w:rPr>
        <w:t>Section 6. INDEMNIFICATION AND CONTRIBUTION</w:t>
      </w:r>
    </w:p>
    <w:p>
      <w:pPr>
        <w:spacing w:after="0" w:line="96" w:lineRule="exact"/>
        <w:rPr>
          <w:sz w:val="20"/>
          <w:szCs w:val="20"/>
          <w:color w:val="auto"/>
        </w:rPr>
      </w:pPr>
    </w:p>
    <w:p>
      <w:pPr>
        <w:ind w:left="400" w:right="439" w:firstLine="321"/>
        <w:spacing w:after="0" w:line="260" w:lineRule="auto"/>
        <w:tabs>
          <w:tab w:leader="none" w:pos="911" w:val="left"/>
        </w:tabs>
        <w:numPr>
          <w:ilvl w:val="0"/>
          <w:numId w:val="8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Indemnification of the Agent</w:t>
      </w:r>
      <w:r>
        <w:rPr>
          <w:rFonts w:ascii="Times New Roman" w:cs="Times New Roman" w:eastAsia="Times New Roman" w:hAnsi="Times New Roman"/>
          <w:sz w:val="13"/>
          <w:szCs w:val="13"/>
          <w:color w:val="auto"/>
        </w:rPr>
        <w:t xml:space="preserve">. The Company agrees to indemnify and hold harmless the Agent, its officers and employees, and each person, if any, who controls the Agent within the meaning of the Securities Act or the Exchange Act against any loss, claim, damage, liability or expense, as incurred, to which the Agent or such officer, employee or controlling person may become subject, under the Securities Act, the Exchange Act, other federal or state statutory law or regulation, or the laws or regulations of foreign jurisdictions where Shares have been offered or sold or at common law or otherwise (including in settlement of any litigation), insofar as such loss, claim, damage, liability or expense (or actions in respect thereof as contemplated below) arises out of or is based upon (i) any untrue statement or alleged untrue statement of a material fact contained in the Registration Statement, or any amendment thereto, including any information deemed to be a part thereof pursuant to Rule 430B under the Securities Act, or the omission or alleged omission therefrom of a material fact required to be stated therein or necessary in order to make the statements therein not misleading; (ii) any untrue statement or alleged untrue statement of a material fact contained in any Free Writing Prospectus that the Company has used, referred to or filed, or is required to file, pursuant to Rule 433(d) of the Securities Act or the Prospectus (or any amendment or supplement thereto), or the omission or alleged omission therefrom of a material fact necessary in order to make the statements therein, in the light of the circumstances under which they were made, not misleading; or (iii) any act or failure to act or any alleged act or failure to act by the Agent in connection with, or relating in any manner to, the Common Shares or the offering contemplated hereby, and which is included as part of or referred to in any loss, claim, damage, liability or action arising out of or based upon any matter covered by clause (i) or (ii) above, provided that the Company shall not be liable under this clause (iii) to the extent that a court of competent jurisdiction shall have determined by a final judgment that such loss, claim, damage, liability or action resulted directly from any such acts or failures to act undertaken or omitted to be taken by the Agent through its bad faith or willful misconduct, and to reimburse the Agent and each such officer, employee and controlling person for any and all expenses (including the fees and disbursements of counsel chosen by the Agent) as such expenses are reasonably incurred by the Agent or such officer, employee or controlling person in connection with investigating, defending, settling, compromising or paying any such loss, claim, damage, liability, expense or action; provided, however, that the foregoing indemnity agreement shall not apply to any loss, claim, damage, liability or expense to the extent, but only to the extent, arising out of or based upon any untrue statement or alleged untrue statement or omission or alleged omission made in reliance upon and in conformity with written information furnished to the Company by the Agent expressly for use in the Registration Statement, any such Free Writing Prospectus or the Prospectus (or any amendment or supplement thereto), it being understood and agreed that the only such information furnished by the Agent to the Company consists of the information set forth in the ninth paragraph under the caption “Plan of Distribution” in the Prospectus. The indemnity agreement set forth in this </w:t>
      </w:r>
      <w:r>
        <w:rPr>
          <w:rFonts w:ascii="Times New Roman" w:cs="Times New Roman" w:eastAsia="Times New Roman" w:hAnsi="Times New Roman"/>
          <w:sz w:val="13"/>
          <w:szCs w:val="13"/>
          <w:u w:val="single" w:color="auto"/>
          <w:color w:val="auto"/>
        </w:rPr>
        <w:t>Section 6(a)</w:t>
      </w:r>
      <w:r>
        <w:rPr>
          <w:rFonts w:ascii="Times New Roman" w:cs="Times New Roman" w:eastAsia="Times New Roman" w:hAnsi="Times New Roman"/>
          <w:sz w:val="13"/>
          <w:szCs w:val="13"/>
          <w:color w:val="auto"/>
        </w:rPr>
        <w:t xml:space="preserve"> shall be in addition to any liabilities that the Company may otherwise have.</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29</w:t>
      </w:r>
    </w:p>
    <w:p>
      <w:pPr>
        <w:sectPr>
          <w:pgSz w:w="11900" w:h="16838" w:orient="portrait"/>
          <w:cols w:equalWidth="0" w:num="1">
            <w:col w:w="9019"/>
          </w:cols>
          <w:pgMar w:left="1440" w:top="238" w:right="1440" w:bottom="1440" w:gutter="0" w:footer="0" w:header="0"/>
        </w:sectPr>
      </w:pPr>
    </w:p>
    <w:bookmarkStart w:id="134" w:name="page135"/>
    <w:bookmarkEnd w:id="134"/>
    <w:p>
      <w:pPr>
        <w:ind w:left="400" w:right="419" w:firstLine="321"/>
        <w:spacing w:after="0" w:line="260" w:lineRule="auto"/>
        <w:tabs>
          <w:tab w:leader="none" w:pos="919" w:val="left"/>
        </w:tabs>
        <w:numPr>
          <w:ilvl w:val="0"/>
          <w:numId w:val="8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9">
                      <a:extLst>
                        <a:ext uri="{28A0092B-C50C-407E-A947-70E740481C1C}"/>
                      </a:extLst>
                    </a:blip>
                    <a:srcRect/>
                    <a:stretch>
                      <a:fillRect/>
                    </a:stretch>
                  </pic:blipFill>
                  <pic:spPr bwMode="auto">
                    <a:xfrm>
                      <a:off x="0" y="0"/>
                      <a:ext cx="7205345" cy="31750"/>
                    </a:xfrm>
                    <a:prstGeom prst="rect">
                      <a:avLst/>
                    </a:prstGeom>
                    <a:noFill/>
                  </pic:spPr>
                </pic:pic>
              </a:graphicData>
            </a:graphic>
          </wp:anchor>
        </w:drawing>
        <w:t>Indemnification of the Company, its Directors and Officers</w:t>
      </w:r>
      <w:r>
        <w:rPr>
          <w:rFonts w:ascii="Times New Roman" w:cs="Times New Roman" w:eastAsia="Times New Roman" w:hAnsi="Times New Roman"/>
          <w:sz w:val="13"/>
          <w:szCs w:val="13"/>
          <w:color w:val="auto"/>
        </w:rPr>
        <w:t>. The Agent agrees to indemnify and hold harmless the Company, each of its directors, each of its officers who signed the Registration Statement and each person, if any, who controls the Company within the meaning of the Securities Act or the Exchange Act against any loss, claim, damage, liability or expense, as incurred, to which the Company or any such director, officer or controlling person may become subject, under the Securities Act, the Exchange Act, or other federal or state statutory law or regulation, or the laws or regulations of foreign jurisdictions where Shares have been offered or sold or at common law or otherwise (including in settlement of any litigation), insofar as such loss, claim, damage, liability or expense (or actions in respect thereof as contemplated below) arises out of or is based upon (i) any untrue statement or alleged untrue statement of a material fact contained in the Registration Statement, or any amendment thereto, including any information deemed to be a part thereof pursuant to Rule 430B under the Securities Act, or the omission or alleged omission therefrom of a material fact required to be stated therein or necessary to make the statements therein not misleading, or (ii) any untrue statement or alleged untrue statement of a material fact contained in any Free Writing Prospectus that the Company has used, referred to or filed, or is required to file, pursuant to Rule 433(d) of the Securities Act or the Prospectus (or any amendment or supplement thereto), or the omission or alleged omission therefrom of a material fact necessary in order to make the statements therein, in the light of the circumstances under which they were made, not misleading; but only to the extent arising out of or based upon any untrue statement or alleged untrue statement or omission or alleged omission made in reliance upon and in conformity with written information furnished to the Company by the Agent expressly for use in the Registration Statement, any such Free Writing Prospectus or the Prospectus (or any amendment or supplement thereto), it being understood and agreed that the only such information furnished by the Agent to the Company consists of the information set forth in the first sentence of the ninth paragraph under the caption “Plan of Distribution” in the Prospectus, and to reimburse the Company and each such director, officer and controlling person for any and all reasonable and documented expenses (including the reasonable and documented fees and disbursements of counsel chosen by the Company) as such expenses are reasonably incurred by the Company or such officer, director or controlling person in connection with investigating, defending, settling, compromising or paying any such loss, claim, damage, liability, expense or action. The indemnity agreement set forth in this Section 6(b) shall be in addition to any liabilities that the Agent or the Company may otherwise have.</w:t>
      </w: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30</w:t>
      </w:r>
    </w:p>
    <w:p>
      <w:pPr>
        <w:sectPr>
          <w:pgSz w:w="11900" w:h="16838" w:orient="portrait"/>
          <w:cols w:equalWidth="0" w:num="1">
            <w:col w:w="9019"/>
          </w:cols>
          <w:pgMar w:left="1440" w:top="238" w:right="1440" w:bottom="1440" w:gutter="0" w:footer="0" w:header="0"/>
        </w:sectPr>
      </w:pPr>
    </w:p>
    <w:bookmarkStart w:id="135" w:name="page136"/>
    <w:bookmarkEnd w:id="135"/>
    <w:p>
      <w:pPr>
        <w:ind w:left="400" w:right="399" w:firstLine="321"/>
        <w:spacing w:after="0" w:line="260" w:lineRule="auto"/>
        <w:tabs>
          <w:tab w:leader="none" w:pos="911" w:val="left"/>
        </w:tabs>
        <w:numPr>
          <w:ilvl w:val="1"/>
          <w:numId w:val="8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0">
                      <a:extLst>
                        <a:ext uri="{28A0092B-C50C-407E-A947-70E740481C1C}"/>
                      </a:extLst>
                    </a:blip>
                    <a:srcRect/>
                    <a:stretch>
                      <a:fillRect/>
                    </a:stretch>
                  </pic:blipFill>
                  <pic:spPr bwMode="auto">
                    <a:xfrm>
                      <a:off x="0" y="0"/>
                      <a:ext cx="7205345" cy="31750"/>
                    </a:xfrm>
                    <a:prstGeom prst="rect">
                      <a:avLst/>
                    </a:prstGeom>
                    <a:noFill/>
                  </pic:spPr>
                </pic:pic>
              </a:graphicData>
            </a:graphic>
          </wp:anchor>
        </w:drawing>
        <w:t>Notifications and Other Indemnification Procedures</w:t>
      </w:r>
      <w:r>
        <w:rPr>
          <w:rFonts w:ascii="Times New Roman" w:cs="Times New Roman" w:eastAsia="Times New Roman" w:hAnsi="Times New Roman"/>
          <w:sz w:val="13"/>
          <w:szCs w:val="13"/>
          <w:color w:val="auto"/>
        </w:rPr>
        <w:t xml:space="preserve">. Promptly after receipt by an indemnified party under this </w:t>
      </w:r>
      <w:r>
        <w:rPr>
          <w:rFonts w:ascii="Times New Roman" w:cs="Times New Roman" w:eastAsia="Times New Roman" w:hAnsi="Times New Roman"/>
          <w:sz w:val="13"/>
          <w:szCs w:val="13"/>
          <w:u w:val="single" w:color="auto"/>
          <w:color w:val="auto"/>
        </w:rPr>
        <w:t>Section 6</w:t>
      </w:r>
      <w:r>
        <w:rPr>
          <w:rFonts w:ascii="Times New Roman" w:cs="Times New Roman" w:eastAsia="Times New Roman" w:hAnsi="Times New Roman"/>
          <w:sz w:val="13"/>
          <w:szCs w:val="13"/>
          <w:color w:val="auto"/>
        </w:rPr>
        <w:t xml:space="preserve"> of notice of the commencement of any action, such indemnified party will, if a claim in respect thereof is to be made against an indemnifying party under this </w:t>
      </w:r>
      <w:r>
        <w:rPr>
          <w:rFonts w:ascii="Times New Roman" w:cs="Times New Roman" w:eastAsia="Times New Roman" w:hAnsi="Times New Roman"/>
          <w:sz w:val="13"/>
          <w:szCs w:val="13"/>
          <w:u w:val="single" w:color="auto"/>
          <w:color w:val="auto"/>
        </w:rPr>
        <w:t>Section 6</w:t>
      </w:r>
      <w:r>
        <w:rPr>
          <w:rFonts w:ascii="Times New Roman" w:cs="Times New Roman" w:eastAsia="Times New Roman" w:hAnsi="Times New Roman"/>
          <w:sz w:val="13"/>
          <w:szCs w:val="13"/>
          <w:color w:val="auto"/>
        </w:rPr>
        <w:t xml:space="preserve">, notify the indemnifying party in writing of the commencement thereof, but the omission so to notify the indemnifying party will not relieve it from any liability which it may have to any indemnified party for contribution or otherwise than under the indemnity agreement contained in this </w:t>
      </w:r>
      <w:r>
        <w:rPr>
          <w:rFonts w:ascii="Times New Roman" w:cs="Times New Roman" w:eastAsia="Times New Roman" w:hAnsi="Times New Roman"/>
          <w:sz w:val="13"/>
          <w:szCs w:val="13"/>
          <w:u w:val="single" w:color="auto"/>
          <w:color w:val="auto"/>
        </w:rPr>
        <w:t>Section 6</w:t>
      </w:r>
      <w:r>
        <w:rPr>
          <w:rFonts w:ascii="Times New Roman" w:cs="Times New Roman" w:eastAsia="Times New Roman" w:hAnsi="Times New Roman"/>
          <w:sz w:val="13"/>
          <w:szCs w:val="13"/>
          <w:color w:val="auto"/>
        </w:rPr>
        <w:t xml:space="preserve"> or to the extent it is not prejudiced as a proximate result of such failure. In case any such action is brought against any indemnified party and such indemnified party seeks or intends to seek indemnity from an indemnifying party, the indemnifying party will be entitled to participate in, and, to the extent that it shall elect, jointly with all other indemnifying parties similarly notified, by written notice delivered to the indemnified party promptly after receiving the aforesaid notice from such indemnified party, to assume the defense thereof with counsel reasonably satisfactory to such indemnified party; provided, however, if the defendants in any such action include both the indemnified party and the indemnifying party and the indemnified party shall have reasonably concluded that a conflict may arise between the positions of the indemnifying party and the indemnified party in conducting the defense of any such action or that there may be legal defenses available to it and/or other indemnified parties which are different from or additional to those available to the indemnifying party, the indemnified party or parties shall have the right to select separate counsel to assume such legal defenses and to otherwise participate in the defense of such action on behalf of such indemnified party or parties. Upon receipt of notice from the indemnifying party to such indemnified party of such indemnifying party’s election so to assume the defense of such action and approval by the indemnified party of counsel, the indemnifying party will not be liable to such indemnified party under this </w:t>
      </w:r>
      <w:r>
        <w:rPr>
          <w:rFonts w:ascii="Times New Roman" w:cs="Times New Roman" w:eastAsia="Times New Roman" w:hAnsi="Times New Roman"/>
          <w:sz w:val="13"/>
          <w:szCs w:val="13"/>
          <w:u w:val="single" w:color="auto"/>
          <w:color w:val="auto"/>
        </w:rPr>
        <w:t>Section 6</w:t>
      </w:r>
      <w:r>
        <w:rPr>
          <w:rFonts w:ascii="Times New Roman" w:cs="Times New Roman" w:eastAsia="Times New Roman" w:hAnsi="Times New Roman"/>
          <w:sz w:val="13"/>
          <w:szCs w:val="13"/>
          <w:color w:val="auto"/>
        </w:rPr>
        <w:t xml:space="preserve"> for any legal or other expenses subsequently incurred by such indemnified party in connection with the defense thereof unless (i) the indemnified party shall have employed separate counsel in accordance with the proviso to the preceding sentence (it being understood, however, that the indemnifying party shall not be liable for the fees and expenses of more than one separate counsel (together with local counsel), representing the indemnified parties who are parties to such action), which counsel (together with any local counsel) for the indemnified parties shall be selected by the Agent (in the case of counsel for the indemnified parties referred to in </w:t>
      </w:r>
      <w:r>
        <w:rPr>
          <w:rFonts w:ascii="Times New Roman" w:cs="Times New Roman" w:eastAsia="Times New Roman" w:hAnsi="Times New Roman"/>
          <w:sz w:val="13"/>
          <w:szCs w:val="13"/>
          <w:u w:val="single" w:color="auto"/>
          <w:color w:val="auto"/>
        </w:rPr>
        <w:t>Section 6(a)</w:t>
      </w:r>
      <w:r>
        <w:rPr>
          <w:rFonts w:ascii="Times New Roman" w:cs="Times New Roman" w:eastAsia="Times New Roman" w:hAnsi="Times New Roman"/>
          <w:sz w:val="13"/>
          <w:szCs w:val="13"/>
          <w:color w:val="auto"/>
        </w:rPr>
        <w:t xml:space="preserve"> above) or the Company (in the case of counsel for the indemnified parties referred to in Section 6(b) above), (ii) the indemnifying party shall not have employed counsel reasonably satisfactory to the indemnified party to represent the indemnified party within a reasonable time after notice of commencement of the action or (iii) the indemnifying party has authorized in writing the employment of counsel for the indemnified party at the expense of the indemnifying party, in each of which cases the fees and expenses of counsel shall be at the expense of the indemnifying party and shall be paid as they are incurred.</w:t>
      </w:r>
    </w:p>
    <w:p>
      <w:pPr>
        <w:spacing w:after="0" w:line="306" w:lineRule="exact"/>
        <w:rPr>
          <w:rFonts w:ascii="Times New Roman" w:cs="Times New Roman" w:eastAsia="Times New Roman" w:hAnsi="Times New Roman"/>
          <w:sz w:val="13"/>
          <w:szCs w:val="13"/>
          <w:color w:val="auto"/>
        </w:rPr>
      </w:pPr>
    </w:p>
    <w:p>
      <w:pPr>
        <w:ind w:left="400" w:right="399" w:firstLine="321"/>
        <w:spacing w:after="0" w:line="262" w:lineRule="auto"/>
        <w:tabs>
          <w:tab w:leader="none" w:pos="919" w:val="left"/>
        </w:tabs>
        <w:numPr>
          <w:ilvl w:val="1"/>
          <w:numId w:val="8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Settlements</w:t>
      </w:r>
      <w:r>
        <w:rPr>
          <w:rFonts w:ascii="Times New Roman" w:cs="Times New Roman" w:eastAsia="Times New Roman" w:hAnsi="Times New Roman"/>
          <w:sz w:val="13"/>
          <w:szCs w:val="13"/>
          <w:color w:val="auto"/>
        </w:rPr>
        <w:t xml:space="preserve">. The indemnifying party under this </w:t>
      </w:r>
      <w:r>
        <w:rPr>
          <w:rFonts w:ascii="Times New Roman" w:cs="Times New Roman" w:eastAsia="Times New Roman" w:hAnsi="Times New Roman"/>
          <w:sz w:val="13"/>
          <w:szCs w:val="13"/>
          <w:u w:val="single" w:color="auto"/>
          <w:color w:val="auto"/>
        </w:rPr>
        <w:t>Section 6</w:t>
      </w:r>
      <w:r>
        <w:rPr>
          <w:rFonts w:ascii="Times New Roman" w:cs="Times New Roman" w:eastAsia="Times New Roman" w:hAnsi="Times New Roman"/>
          <w:sz w:val="13"/>
          <w:szCs w:val="13"/>
          <w:color w:val="auto"/>
        </w:rPr>
        <w:t xml:space="preserve"> shall not be liable for any settlement of any proceeding effected without its written consent, but if settled with such consent or if there be a final judgment for the plaintiff, the indemnifying party agrees to indemnify the indemnified party against any loss, claim, damage, liability or expense by reason of such settlement or judgment. Notwithstanding the foregoing sentence, if at any time an indemnified party shall have requested an indemnifying party to reimburse the indemnified party for fees and expenses of counsel as contemplated by </w:t>
      </w:r>
      <w:r>
        <w:rPr>
          <w:rFonts w:ascii="Times New Roman" w:cs="Times New Roman" w:eastAsia="Times New Roman" w:hAnsi="Times New Roman"/>
          <w:sz w:val="13"/>
          <w:szCs w:val="13"/>
          <w:u w:val="single" w:color="auto"/>
          <w:color w:val="auto"/>
        </w:rPr>
        <w:t>Section 6(c)</w:t>
      </w:r>
      <w:r>
        <w:rPr>
          <w:rFonts w:ascii="Times New Roman" w:cs="Times New Roman" w:eastAsia="Times New Roman" w:hAnsi="Times New Roman"/>
          <w:sz w:val="13"/>
          <w:szCs w:val="13"/>
          <w:color w:val="auto"/>
        </w:rPr>
        <w:t xml:space="preserve"> hereof, the indemnifying party agrees that it shall be liable for any settlement of any proceeding effected without its written consent if</w:t>
      </w:r>
    </w:p>
    <w:p>
      <w:pPr>
        <w:spacing w:after="0" w:line="2" w:lineRule="exact"/>
        <w:rPr>
          <w:rFonts w:ascii="Times New Roman" w:cs="Times New Roman" w:eastAsia="Times New Roman" w:hAnsi="Times New Roman"/>
          <w:sz w:val="13"/>
          <w:szCs w:val="13"/>
          <w:color w:val="auto"/>
        </w:rPr>
      </w:pPr>
    </w:p>
    <w:p>
      <w:pPr>
        <w:ind w:left="400" w:right="419" w:hanging="8"/>
        <w:spacing w:after="0" w:line="262" w:lineRule="auto"/>
        <w:tabs>
          <w:tab w:leader="none" w:pos="560" w:val="left"/>
        </w:tabs>
        <w:numPr>
          <w:ilvl w:val="0"/>
          <w:numId w:val="8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such settlement is entered into more than thirty (30) calendar days after receipt by such indemnifying party of the aforesaid request; and (ii) such indemnifying party shall not have reimbursed the indemnified party in accordance with such request prior to the date of such settlement. No indemnifying party shall, without the prior written consent of the indemnified party, effect any settlement, compromise or consent to the entry of judgment in any pending or threatened action, suit or proceeding in respect of which any indemnified party is or could have been a party and indemnity was or could have been sought hereunder by such indemnified party, unless such settlement, compromise or consent includes an unconditional release of such indemnified party from all liability on claims that are the subject matter of such action, suit or proceeding.</w:t>
      </w:r>
    </w:p>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31</w:t>
      </w:r>
    </w:p>
    <w:p>
      <w:pPr>
        <w:sectPr>
          <w:pgSz w:w="11900" w:h="16838" w:orient="portrait"/>
          <w:cols w:equalWidth="0" w:num="1">
            <w:col w:w="9019"/>
          </w:cols>
          <w:pgMar w:left="1440" w:top="238" w:right="1440" w:bottom="1440" w:gutter="0" w:footer="0" w:header="0"/>
        </w:sectPr>
      </w:pPr>
    </w:p>
    <w:bookmarkStart w:id="136" w:name="page137"/>
    <w:bookmarkEnd w:id="136"/>
    <w:p>
      <w:pPr>
        <w:ind w:left="400" w:right="399" w:firstLine="321"/>
        <w:spacing w:after="0" w:line="261" w:lineRule="auto"/>
        <w:tabs>
          <w:tab w:leader="none" w:pos="911" w:val="left"/>
        </w:tabs>
        <w:numPr>
          <w:ilvl w:val="0"/>
          <w:numId w:val="8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1">
                      <a:extLst>
                        <a:ext uri="{28A0092B-C50C-407E-A947-70E740481C1C}"/>
                      </a:extLst>
                    </a:blip>
                    <a:srcRect/>
                    <a:stretch>
                      <a:fillRect/>
                    </a:stretch>
                  </pic:blipFill>
                  <pic:spPr bwMode="auto">
                    <a:xfrm>
                      <a:off x="0" y="0"/>
                      <a:ext cx="7205345" cy="31750"/>
                    </a:xfrm>
                    <a:prstGeom prst="rect">
                      <a:avLst/>
                    </a:prstGeom>
                    <a:noFill/>
                  </pic:spPr>
                </pic:pic>
              </a:graphicData>
            </a:graphic>
          </wp:anchor>
        </w:drawing>
        <w:t>Contribution</w:t>
      </w:r>
      <w:r>
        <w:rPr>
          <w:rFonts w:ascii="Times New Roman" w:cs="Times New Roman" w:eastAsia="Times New Roman" w:hAnsi="Times New Roman"/>
          <w:sz w:val="13"/>
          <w:szCs w:val="13"/>
          <w:color w:val="auto"/>
        </w:rPr>
        <w:t xml:space="preserve">. If the indemnification provided for in this </w:t>
      </w:r>
      <w:r>
        <w:rPr>
          <w:rFonts w:ascii="Times New Roman" w:cs="Times New Roman" w:eastAsia="Times New Roman" w:hAnsi="Times New Roman"/>
          <w:sz w:val="13"/>
          <w:szCs w:val="13"/>
          <w:u w:val="single" w:color="auto"/>
          <w:color w:val="auto"/>
        </w:rPr>
        <w:t>Section 6</w:t>
      </w:r>
      <w:r>
        <w:rPr>
          <w:rFonts w:ascii="Times New Roman" w:cs="Times New Roman" w:eastAsia="Times New Roman" w:hAnsi="Times New Roman"/>
          <w:sz w:val="13"/>
          <w:szCs w:val="13"/>
          <w:color w:val="auto"/>
        </w:rPr>
        <w:t xml:space="preserve"> is for any reason held to be unavailable to or otherwise insufficient to hold harmless an indemnified party in respect of any losses, claims, damages, liabilities or expenses referred to therein, then each indemnifying party shall contribute to the aggregate amount paid or payable by such indemnified party, as incurred, as a result of any losses, claims, damages, liabilities or expenses referred to therein (i) in such proportion as is appropriate to reflect the relative benefits received by the Company, on the one hand, and the Agent, on the other hand, from the offering of the Shares pursuant to this Agreement; or (ii) if the allocation provided by clause (i) above is not permitted by applicable law, in such proportion as is appropriate to reflect not only the relative benefits referred to in clause (i) above but also the relative fault of the Company, on the one hand, and the Agent, on the other hand, in connection with the statements or omissions which resulted in such losses, claims, damages, liabilities or expenses, as well as any other relevant equitable considerations. The relative benefits received by the Company, on the one hand, and the Agent, on the other hand, in connection with the offering of the Shares pursuant to this Agreement shall be deemed to be in the same respective proportions as the total gross proceeds from the offering of the Shares (net of commissions to the Agent, but before deducting expenses) received by the Company bear to the total Selling Commissions received by the Agent. The relative fault of the Company, on the one hand, and the Agent, on the other hand, shall be determined by reference to, among other things, whether any such untrue or alleged untrue statement of a material fact or omission or alleged omission to state a material fact relates to information supplied by the Company, on the one hand, or the Agent, on the other hand, and the parties’ relative intent, knowledge, access to information and opportunity to correct or prevent such statement or omission.</w:t>
      </w:r>
    </w:p>
    <w:p>
      <w:pPr>
        <w:spacing w:after="0" w:line="143" w:lineRule="exact"/>
        <w:rPr>
          <w:sz w:val="20"/>
          <w:szCs w:val="20"/>
          <w:color w:val="auto"/>
        </w:rPr>
      </w:pPr>
    </w:p>
    <w:p>
      <w:pPr>
        <w:ind w:left="400" w:right="419" w:firstLine="329"/>
        <w:spacing w:after="0" w:line="268" w:lineRule="auto"/>
        <w:rPr>
          <w:sz w:val="20"/>
          <w:szCs w:val="20"/>
          <w:color w:val="auto"/>
        </w:rPr>
      </w:pPr>
      <w:r>
        <w:rPr>
          <w:rFonts w:ascii="Times New Roman" w:cs="Times New Roman" w:eastAsia="Times New Roman" w:hAnsi="Times New Roman"/>
          <w:sz w:val="13"/>
          <w:szCs w:val="13"/>
          <w:color w:val="auto"/>
        </w:rPr>
        <w:t xml:space="preserve">The amount paid or payable by a party as a result of the losses, claims, damages, liabilities and expenses referred to above shall be deemed to include, subject to the limitations set forth in </w:t>
      </w:r>
      <w:r>
        <w:rPr>
          <w:rFonts w:ascii="Times New Roman" w:cs="Times New Roman" w:eastAsia="Times New Roman" w:hAnsi="Times New Roman"/>
          <w:sz w:val="13"/>
          <w:szCs w:val="13"/>
          <w:u w:val="single" w:color="auto"/>
          <w:color w:val="auto"/>
        </w:rPr>
        <w:t>Section 6(c)</w:t>
      </w:r>
      <w:r>
        <w:rPr>
          <w:rFonts w:ascii="Times New Roman" w:cs="Times New Roman" w:eastAsia="Times New Roman" w:hAnsi="Times New Roman"/>
          <w:sz w:val="13"/>
          <w:szCs w:val="13"/>
          <w:color w:val="auto"/>
        </w:rPr>
        <w:t xml:space="preserve">, any legal or other fees or expenses reasonably incurred by such party in connection with investigating or defending any action or claim. The provisions set forth in </w:t>
      </w:r>
      <w:r>
        <w:rPr>
          <w:rFonts w:ascii="Times New Roman" w:cs="Times New Roman" w:eastAsia="Times New Roman" w:hAnsi="Times New Roman"/>
          <w:sz w:val="13"/>
          <w:szCs w:val="13"/>
          <w:u w:val="single" w:color="auto"/>
          <w:color w:val="auto"/>
        </w:rPr>
        <w:t>Section 6(c)</w:t>
      </w:r>
      <w:r>
        <w:rPr>
          <w:rFonts w:ascii="Times New Roman" w:cs="Times New Roman" w:eastAsia="Times New Roman" w:hAnsi="Times New Roman"/>
          <w:sz w:val="13"/>
          <w:szCs w:val="13"/>
          <w:color w:val="auto"/>
        </w:rPr>
        <w:t xml:space="preserve"> with respect to notice of commencement of any action shall apply if a claim for contribution is to be made under this </w:t>
      </w:r>
      <w:r>
        <w:rPr>
          <w:rFonts w:ascii="Times New Roman" w:cs="Times New Roman" w:eastAsia="Times New Roman" w:hAnsi="Times New Roman"/>
          <w:sz w:val="13"/>
          <w:szCs w:val="13"/>
          <w:u w:val="single" w:color="auto"/>
          <w:color w:val="auto"/>
        </w:rPr>
        <w:t>Section 6(e)</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provided, however,</w:t>
      </w:r>
      <w:r>
        <w:rPr>
          <w:rFonts w:ascii="Times New Roman" w:cs="Times New Roman" w:eastAsia="Times New Roman" w:hAnsi="Times New Roman"/>
          <w:sz w:val="13"/>
          <w:szCs w:val="13"/>
          <w:color w:val="auto"/>
        </w:rPr>
        <w:t xml:space="preserve"> that no additional notice shall be required with respect to any action for which notice has been given under </w:t>
      </w:r>
      <w:r>
        <w:rPr>
          <w:rFonts w:ascii="Times New Roman" w:cs="Times New Roman" w:eastAsia="Times New Roman" w:hAnsi="Times New Roman"/>
          <w:sz w:val="13"/>
          <w:szCs w:val="13"/>
          <w:u w:val="single" w:color="auto"/>
          <w:color w:val="auto"/>
        </w:rPr>
        <w:t>Section 6(c)</w:t>
      </w:r>
      <w:r>
        <w:rPr>
          <w:rFonts w:ascii="Times New Roman" w:cs="Times New Roman" w:eastAsia="Times New Roman" w:hAnsi="Times New Roman"/>
          <w:sz w:val="13"/>
          <w:szCs w:val="13"/>
          <w:color w:val="auto"/>
        </w:rPr>
        <w:t xml:space="preserve"> for purposes of indemnification.</w:t>
      </w:r>
    </w:p>
    <w:p>
      <w:pPr>
        <w:spacing w:after="0" w:line="133" w:lineRule="exact"/>
        <w:rPr>
          <w:sz w:val="20"/>
          <w:szCs w:val="20"/>
          <w:color w:val="auto"/>
        </w:rPr>
      </w:pPr>
    </w:p>
    <w:p>
      <w:pPr>
        <w:ind w:left="400" w:right="459" w:firstLine="329"/>
        <w:spacing w:after="0" w:line="297" w:lineRule="auto"/>
        <w:rPr>
          <w:sz w:val="20"/>
          <w:szCs w:val="20"/>
          <w:color w:val="auto"/>
        </w:rPr>
      </w:pPr>
      <w:r>
        <w:rPr>
          <w:rFonts w:ascii="Times New Roman" w:cs="Times New Roman" w:eastAsia="Times New Roman" w:hAnsi="Times New Roman"/>
          <w:sz w:val="13"/>
          <w:szCs w:val="13"/>
          <w:color w:val="auto"/>
        </w:rPr>
        <w:t xml:space="preserve">The Company and the Agent agree that it would not be just and equitable if contribution pursuant to this </w:t>
      </w:r>
      <w:r>
        <w:rPr>
          <w:rFonts w:ascii="Times New Roman" w:cs="Times New Roman" w:eastAsia="Times New Roman" w:hAnsi="Times New Roman"/>
          <w:sz w:val="13"/>
          <w:szCs w:val="13"/>
          <w:u w:val="single" w:color="auto"/>
          <w:color w:val="auto"/>
        </w:rPr>
        <w:t>Section 6(e)</w:t>
      </w:r>
      <w:r>
        <w:rPr>
          <w:rFonts w:ascii="Times New Roman" w:cs="Times New Roman" w:eastAsia="Times New Roman" w:hAnsi="Times New Roman"/>
          <w:sz w:val="13"/>
          <w:szCs w:val="13"/>
          <w:color w:val="auto"/>
        </w:rPr>
        <w:t xml:space="preserve"> were determined by pro rata allocation or by any other method of allocation which does not take account of the equitable considerations referred to in this </w:t>
      </w:r>
      <w:r>
        <w:rPr>
          <w:rFonts w:ascii="Times New Roman" w:cs="Times New Roman" w:eastAsia="Times New Roman" w:hAnsi="Times New Roman"/>
          <w:sz w:val="13"/>
          <w:szCs w:val="13"/>
          <w:u w:val="single" w:color="auto"/>
          <w:color w:val="auto"/>
        </w:rPr>
        <w:t>Section 6(e)</w:t>
      </w:r>
      <w:r>
        <w:rPr>
          <w:rFonts w:ascii="Times New Roman" w:cs="Times New Roman" w:eastAsia="Times New Roman" w:hAnsi="Times New Roman"/>
          <w:sz w:val="13"/>
          <w:szCs w:val="13"/>
          <w:color w:val="auto"/>
        </w:rPr>
        <w:t>.</w:t>
      </w:r>
    </w:p>
    <w:p>
      <w:pPr>
        <w:spacing w:after="0" w:line="114" w:lineRule="exact"/>
        <w:rPr>
          <w:sz w:val="20"/>
          <w:szCs w:val="20"/>
          <w:color w:val="auto"/>
        </w:rPr>
      </w:pPr>
    </w:p>
    <w:p>
      <w:pPr>
        <w:ind w:left="400" w:right="459" w:firstLine="329"/>
        <w:spacing w:after="0" w:line="265" w:lineRule="auto"/>
        <w:rPr>
          <w:sz w:val="20"/>
          <w:szCs w:val="20"/>
          <w:color w:val="auto"/>
        </w:rPr>
      </w:pPr>
      <w:r>
        <w:rPr>
          <w:rFonts w:ascii="Times New Roman" w:cs="Times New Roman" w:eastAsia="Times New Roman" w:hAnsi="Times New Roman"/>
          <w:sz w:val="13"/>
          <w:szCs w:val="13"/>
          <w:color w:val="auto"/>
        </w:rPr>
        <w:t xml:space="preserve">Notwithstanding the provisions of this </w:t>
      </w:r>
      <w:r>
        <w:rPr>
          <w:rFonts w:ascii="Times New Roman" w:cs="Times New Roman" w:eastAsia="Times New Roman" w:hAnsi="Times New Roman"/>
          <w:sz w:val="13"/>
          <w:szCs w:val="13"/>
          <w:u w:val="single" w:color="auto"/>
          <w:color w:val="auto"/>
        </w:rPr>
        <w:t>Section 6(e)</w:t>
      </w:r>
      <w:r>
        <w:rPr>
          <w:rFonts w:ascii="Times New Roman" w:cs="Times New Roman" w:eastAsia="Times New Roman" w:hAnsi="Times New Roman"/>
          <w:sz w:val="13"/>
          <w:szCs w:val="13"/>
          <w:color w:val="auto"/>
        </w:rPr>
        <w:t xml:space="preserve">, the Agent shall not be required to contribute any amount in excess of the Selling Commissions received by the Agent in connection with the offering contemplated hereby. No person guilty of fraudulent misrepresentation (within the meaning of Section 11(f) of the Securities Act) shall be entitled to contribution from any person who was not guilty of such fraudulent misrepresentation. For purposes of this </w:t>
      </w:r>
      <w:r>
        <w:rPr>
          <w:rFonts w:ascii="Times New Roman" w:cs="Times New Roman" w:eastAsia="Times New Roman" w:hAnsi="Times New Roman"/>
          <w:sz w:val="13"/>
          <w:szCs w:val="13"/>
          <w:u w:val="single" w:color="auto"/>
          <w:color w:val="auto"/>
        </w:rPr>
        <w:t>Section 6(e)</w:t>
      </w:r>
      <w:r>
        <w:rPr>
          <w:rFonts w:ascii="Times New Roman" w:cs="Times New Roman" w:eastAsia="Times New Roman" w:hAnsi="Times New Roman"/>
          <w:sz w:val="13"/>
          <w:szCs w:val="13"/>
          <w:color w:val="auto"/>
        </w:rPr>
        <w:t>, each officer and employee of the Agent and each person, if any, who controls the Agent within the meaning of the Securities Act or the Exchange Act shall have the same rights to contribution as the Agent, and each director of the Company, each officer of the Company who signed the Registration Statement, and each person, if any, who controls the Company within the meaning of the Securities Act and the Exchange Act shall have the same rights to contribution as the Company.</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32</w:t>
      </w:r>
    </w:p>
    <w:p>
      <w:pPr>
        <w:sectPr>
          <w:pgSz w:w="11900" w:h="16838" w:orient="portrait"/>
          <w:cols w:equalWidth="0" w:num="1">
            <w:col w:w="9019"/>
          </w:cols>
          <w:pgMar w:left="1440" w:top="238" w:right="1440" w:bottom="1440" w:gutter="0" w:footer="0" w:header="0"/>
        </w:sectPr>
      </w:pPr>
    </w:p>
    <w:bookmarkStart w:id="137" w:name="page138"/>
    <w:bookmarkEnd w:id="137"/>
    <w:p>
      <w:pPr>
        <w:ind w:left="400"/>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12">
                      <a:extLst>
                        <a:ext uri="{28A0092B-C50C-407E-A947-70E740481C1C}"/>
                      </a:extLst>
                    </a:blip>
                    <a:srcRect/>
                    <a:stretch>
                      <a:fillRect/>
                    </a:stretch>
                  </pic:blipFill>
                  <pic:spPr bwMode="auto">
                    <a:xfrm>
                      <a:off x="0" y="0"/>
                      <a:ext cx="7205345" cy="31750"/>
                    </a:xfrm>
                    <a:prstGeom prst="rect">
                      <a:avLst/>
                    </a:prstGeom>
                    <a:noFill/>
                  </pic:spPr>
                </pic:pic>
              </a:graphicData>
            </a:graphic>
          </wp:anchor>
        </w:drawing>
        <w:t>Section 7. TERMINATION &amp; SURVIVAL</w:t>
      </w:r>
    </w:p>
    <w:p>
      <w:pPr>
        <w:spacing w:after="0" w:line="96" w:lineRule="exact"/>
        <w:rPr>
          <w:sz w:val="20"/>
          <w:szCs w:val="20"/>
          <w:color w:val="auto"/>
        </w:rPr>
      </w:pPr>
    </w:p>
    <w:p>
      <w:pPr>
        <w:ind w:left="400" w:right="419" w:firstLine="321"/>
        <w:spacing w:after="0" w:line="297" w:lineRule="auto"/>
        <w:tabs>
          <w:tab w:leader="none" w:pos="911" w:val="left"/>
        </w:tabs>
        <w:numPr>
          <w:ilvl w:val="1"/>
          <w:numId w:val="8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Term</w:t>
      </w:r>
      <w:r>
        <w:rPr>
          <w:rFonts w:ascii="Times New Roman" w:cs="Times New Roman" w:eastAsia="Times New Roman" w:hAnsi="Times New Roman"/>
          <w:sz w:val="13"/>
          <w:szCs w:val="13"/>
          <w:color w:val="auto"/>
        </w:rPr>
        <w:t xml:space="preserve">. Subject to the provisions of this </w:t>
      </w:r>
      <w:r>
        <w:rPr>
          <w:rFonts w:ascii="Times New Roman" w:cs="Times New Roman" w:eastAsia="Times New Roman" w:hAnsi="Times New Roman"/>
          <w:sz w:val="13"/>
          <w:szCs w:val="13"/>
          <w:u w:val="single" w:color="auto"/>
          <w:color w:val="auto"/>
        </w:rPr>
        <w:t>Section 7</w:t>
      </w:r>
      <w:r>
        <w:rPr>
          <w:rFonts w:ascii="Times New Roman" w:cs="Times New Roman" w:eastAsia="Times New Roman" w:hAnsi="Times New Roman"/>
          <w:sz w:val="13"/>
          <w:szCs w:val="13"/>
          <w:color w:val="auto"/>
        </w:rPr>
        <w:t xml:space="preserve">, the term of this Agreement shall continue from the date of this Agreement until the end of the Agency Period, unless earlier terminated by the parties to this Agreement pursuant to this </w:t>
      </w:r>
      <w:r>
        <w:rPr>
          <w:rFonts w:ascii="Times New Roman" w:cs="Times New Roman" w:eastAsia="Times New Roman" w:hAnsi="Times New Roman"/>
          <w:sz w:val="13"/>
          <w:szCs w:val="13"/>
          <w:u w:val="single" w:color="auto"/>
          <w:color w:val="auto"/>
        </w:rPr>
        <w:t>Section 7</w:t>
      </w:r>
      <w:r>
        <w:rPr>
          <w:rFonts w:ascii="Times New Roman" w:cs="Times New Roman" w:eastAsia="Times New Roman" w:hAnsi="Times New Roman"/>
          <w:sz w:val="13"/>
          <w:szCs w:val="13"/>
          <w:color w:val="auto"/>
        </w:rPr>
        <w:t>.</w:t>
      </w:r>
    </w:p>
    <w:p>
      <w:pPr>
        <w:spacing w:after="0" w:line="113" w:lineRule="exact"/>
        <w:rPr>
          <w:rFonts w:ascii="Times New Roman" w:cs="Times New Roman" w:eastAsia="Times New Roman" w:hAnsi="Times New Roman"/>
          <w:sz w:val="13"/>
          <w:szCs w:val="13"/>
          <w:color w:val="auto"/>
        </w:rPr>
      </w:pPr>
    </w:p>
    <w:p>
      <w:pPr>
        <w:ind w:left="920" w:hanging="199"/>
        <w:spacing w:after="0"/>
        <w:tabs>
          <w:tab w:leader="none" w:pos="920" w:val="left"/>
        </w:tabs>
        <w:numPr>
          <w:ilvl w:val="1"/>
          <w:numId w:val="8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Termination; Survival Following Termination</w:t>
      </w:r>
      <w:r>
        <w:rPr>
          <w:rFonts w:ascii="Times New Roman" w:cs="Times New Roman" w:eastAsia="Times New Roman" w:hAnsi="Times New Roman"/>
          <w:sz w:val="13"/>
          <w:szCs w:val="13"/>
          <w:color w:val="auto"/>
        </w:rPr>
        <w:t>.</w:t>
      </w:r>
    </w:p>
    <w:p>
      <w:pPr>
        <w:spacing w:after="0" w:line="102" w:lineRule="exact"/>
        <w:rPr>
          <w:rFonts w:ascii="Times New Roman" w:cs="Times New Roman" w:eastAsia="Times New Roman" w:hAnsi="Times New Roman"/>
          <w:sz w:val="13"/>
          <w:szCs w:val="13"/>
          <w:color w:val="auto"/>
        </w:rPr>
      </w:pPr>
    </w:p>
    <w:p>
      <w:pPr>
        <w:ind w:left="1120" w:right="419" w:hanging="405"/>
        <w:spacing w:after="0" w:line="268" w:lineRule="auto"/>
        <w:tabs>
          <w:tab w:leader="none" w:pos="1120" w:val="left"/>
        </w:tabs>
        <w:numPr>
          <w:ilvl w:val="1"/>
          <w:numId w:val="9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Either party may terminate this Agreement prior to the end of the Agency Period, by giving written notice as required by this Agreement, upon ten (10) Trading Days’ notice to the other party; provided that, (A) if the Company terminates this Agreement after the Agent confirms to the Company any sale of Shares, the Company shall remain obligated to comply with </w:t>
      </w:r>
      <w:r>
        <w:rPr>
          <w:rFonts w:ascii="Times New Roman" w:cs="Times New Roman" w:eastAsia="Times New Roman" w:hAnsi="Times New Roman"/>
          <w:sz w:val="13"/>
          <w:szCs w:val="13"/>
          <w:u w:val="single" w:color="auto"/>
          <w:color w:val="auto"/>
        </w:rPr>
        <w:t>Section 3(b)(v)</w:t>
      </w:r>
      <w:r>
        <w:rPr>
          <w:rFonts w:ascii="Times New Roman" w:cs="Times New Roman" w:eastAsia="Times New Roman" w:hAnsi="Times New Roman"/>
          <w:sz w:val="13"/>
          <w:szCs w:val="13"/>
          <w:color w:val="auto"/>
        </w:rPr>
        <w:t xml:space="preserve"> with respect to such Shares and (B) </w:t>
      </w:r>
      <w:r>
        <w:rPr>
          <w:rFonts w:ascii="Times New Roman" w:cs="Times New Roman" w:eastAsia="Times New Roman" w:hAnsi="Times New Roman"/>
          <w:sz w:val="13"/>
          <w:szCs w:val="13"/>
          <w:u w:val="single" w:color="auto"/>
          <w:color w:val="auto"/>
        </w:rPr>
        <w:t>Section 2</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Section 6</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Section 7</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Section 8</w:t>
      </w:r>
      <w:r>
        <w:rPr>
          <w:rFonts w:ascii="Times New Roman" w:cs="Times New Roman" w:eastAsia="Times New Roman" w:hAnsi="Times New Roman"/>
          <w:sz w:val="13"/>
          <w:szCs w:val="13"/>
          <w:color w:val="auto"/>
        </w:rPr>
        <w:t xml:space="preserve"> shall survive termination of this Agreement. If termination shall occur prior to the Settlement Date for any sale of Shares, such sale shall nevertheless settle in accordance with the terms of this Agreement.</w:t>
      </w:r>
    </w:p>
    <w:p>
      <w:pPr>
        <w:spacing w:after="0" w:line="62" w:lineRule="exact"/>
        <w:rPr>
          <w:rFonts w:ascii="Times New Roman" w:cs="Times New Roman" w:eastAsia="Times New Roman" w:hAnsi="Times New Roman"/>
          <w:sz w:val="13"/>
          <w:szCs w:val="13"/>
          <w:color w:val="auto"/>
        </w:rPr>
      </w:pPr>
    </w:p>
    <w:p>
      <w:pPr>
        <w:ind w:left="1120" w:right="419" w:hanging="405"/>
        <w:spacing w:after="0" w:line="268" w:lineRule="auto"/>
        <w:tabs>
          <w:tab w:leader="none" w:pos="1120" w:val="left"/>
        </w:tabs>
        <w:numPr>
          <w:ilvl w:val="1"/>
          <w:numId w:val="9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In addition to the survival provision of </w:t>
      </w:r>
      <w:r>
        <w:rPr>
          <w:rFonts w:ascii="Times New Roman" w:cs="Times New Roman" w:eastAsia="Times New Roman" w:hAnsi="Times New Roman"/>
          <w:sz w:val="13"/>
          <w:szCs w:val="13"/>
          <w:u w:val="single" w:color="auto"/>
          <w:color w:val="auto"/>
        </w:rPr>
        <w:t>Section 7(b)(i)</w:t>
      </w:r>
      <w:r>
        <w:rPr>
          <w:rFonts w:ascii="Times New Roman" w:cs="Times New Roman" w:eastAsia="Times New Roman" w:hAnsi="Times New Roman"/>
          <w:sz w:val="13"/>
          <w:szCs w:val="13"/>
          <w:color w:val="auto"/>
        </w:rPr>
        <w:t>, the respective indemnities, agreements, representations, warranties and other statements of the Company, of its officers and of the Agent set forth in or made pursuant to this Agreement will remain in full force and effect, regardless of any investigation made by or on behalf of the Agent or the Company or any of its or their partners, officers or directors or any controlling person, as the case may be, and, anything herein to the contrary notwithstanding, will survive delivery of and payment for the Shares sold hereunder and any termination of this Agreement.</w:t>
      </w:r>
    </w:p>
    <w:p>
      <w:pPr>
        <w:spacing w:after="0" w:line="20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3"/>
          <w:szCs w:val="13"/>
          <w:b w:val="1"/>
          <w:bCs w:val="1"/>
          <w:color w:val="auto"/>
        </w:rPr>
        <w:t>Section 8. MISCELLANEOUS</w:t>
      </w:r>
    </w:p>
    <w:p>
      <w:pPr>
        <w:spacing w:after="0" w:line="96" w:lineRule="exact"/>
        <w:rPr>
          <w:sz w:val="20"/>
          <w:szCs w:val="20"/>
          <w:color w:val="auto"/>
        </w:rPr>
      </w:pPr>
    </w:p>
    <w:p>
      <w:pPr>
        <w:ind w:left="400" w:right="419" w:firstLine="321"/>
        <w:spacing w:after="0" w:line="262" w:lineRule="auto"/>
        <w:tabs>
          <w:tab w:leader="none" w:pos="911" w:val="left"/>
        </w:tabs>
        <w:numPr>
          <w:ilvl w:val="0"/>
          <w:numId w:val="9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Press Releases and Disclosure</w:t>
      </w:r>
      <w:r>
        <w:rPr>
          <w:rFonts w:ascii="Times New Roman" w:cs="Times New Roman" w:eastAsia="Times New Roman" w:hAnsi="Times New Roman"/>
          <w:sz w:val="13"/>
          <w:szCs w:val="13"/>
          <w:color w:val="auto"/>
        </w:rPr>
        <w:t>. The Company may issue a press release describing the material terms of the transactions contemplated hereby as soon as practicable following the date of this Agreement, and may file with the Commission a current report on Form 8-K, with this Agreement attached as an exhibit thereto, describing the material terms of the transactions contemplated hereby, and the Company shall consult with the Agent prior to making such disclosures, and the parties hereto shall use all commercially reasonable efforts, acting in good faith, to agree upon a text for such disclosures that is reasonably satisfactory to all parties hereto. No party hereto shall issue thereafter any press release or like public statement (including, without limitation, any disclosure required in reports filed with the Commission pursuant to the Exchange Act) related to this Agreement or any of the transactions contemplated hereby without the prior written approval of the other party hereto, except as may be necessary or appropriate in the reasonable opinion of the party seeking to make disclosure to comply with the requirements of applicable law or stock exchange rules. If any such press release or like public statement is so required (other than ordinary course disclosure regarding sales of Common Shares pursuant to this Agreement on current reports on Form 8-K, quarterly reports on Form 10-Q or annual reports on Form 10-K), the party making such disclosure shall consult with the other party prior to making such disclosure, and the parties shall use all commercially reasonable efforts, acting in good faith, to agree upon a text for such disclosure that is reasonably satisfactory to all parties hereto.</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33</w:t>
      </w:r>
    </w:p>
    <w:p>
      <w:pPr>
        <w:sectPr>
          <w:pgSz w:w="11900" w:h="16838" w:orient="portrait"/>
          <w:cols w:equalWidth="0" w:num="1">
            <w:col w:w="9019"/>
          </w:cols>
          <w:pgMar w:left="1440" w:top="234" w:right="1440" w:bottom="1440" w:gutter="0" w:footer="0" w:header="0"/>
        </w:sectPr>
      </w:pPr>
    </w:p>
    <w:bookmarkStart w:id="138" w:name="page139"/>
    <w:bookmarkEnd w:id="138"/>
    <w:p>
      <w:pPr>
        <w:ind w:left="400" w:right="599" w:firstLine="321"/>
        <w:spacing w:after="0" w:line="263" w:lineRule="auto"/>
        <w:tabs>
          <w:tab w:leader="none" w:pos="919" w:val="left"/>
        </w:tabs>
        <w:numPr>
          <w:ilvl w:val="1"/>
          <w:numId w:val="9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13">
                      <a:extLst>
                        <a:ext uri="{28A0092B-C50C-407E-A947-70E740481C1C}"/>
                      </a:extLst>
                    </a:blip>
                    <a:srcRect/>
                    <a:stretch>
                      <a:fillRect/>
                    </a:stretch>
                  </pic:blipFill>
                  <pic:spPr bwMode="auto">
                    <a:xfrm>
                      <a:off x="0" y="0"/>
                      <a:ext cx="7205345" cy="31750"/>
                    </a:xfrm>
                    <a:prstGeom prst="rect">
                      <a:avLst/>
                    </a:prstGeom>
                    <a:noFill/>
                  </pic:spPr>
                </pic:pic>
              </a:graphicData>
            </a:graphic>
          </wp:anchor>
        </w:drawing>
        <w:t>No Advisory or Fiduciary Relationship</w:t>
      </w:r>
      <w:r>
        <w:rPr>
          <w:rFonts w:ascii="Times New Roman" w:cs="Times New Roman" w:eastAsia="Times New Roman" w:hAnsi="Times New Roman"/>
          <w:sz w:val="13"/>
          <w:szCs w:val="13"/>
          <w:color w:val="auto"/>
        </w:rPr>
        <w:t>. The Company acknowledges and agrees that (i) the transactions contemplated by this Agreement, including the determination of any fees, are arm’s-length commercial transactions between the Company and the Agent, and do not constitute a recommendation, investment advice, or solicitation of any action by the Agent, (ii) when acting as a principal under this Agreement, the Agent is and has been acting solely as a principal and is not the agent or fiduciary of the Company, or its stockholders, creditors, employees or any other party,</w:t>
      </w:r>
    </w:p>
    <w:p>
      <w:pPr>
        <w:spacing w:after="0" w:line="2" w:lineRule="exact"/>
        <w:rPr>
          <w:rFonts w:ascii="Times New Roman" w:cs="Times New Roman" w:eastAsia="Times New Roman" w:hAnsi="Times New Roman"/>
          <w:sz w:val="13"/>
          <w:szCs w:val="13"/>
          <w:color w:val="auto"/>
        </w:rPr>
      </w:pPr>
    </w:p>
    <w:p>
      <w:pPr>
        <w:ind w:left="400" w:right="479" w:hanging="8"/>
        <w:spacing w:after="0" w:line="261" w:lineRule="auto"/>
        <w:tabs>
          <w:tab w:leader="none" w:pos="635" w:val="left"/>
        </w:tabs>
        <w:numPr>
          <w:ilvl w:val="0"/>
          <w:numId w:val="9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Agent has not assumed nor will assume an advisory or fiduciary responsibility in favor of the Company with respect to the transactions contemplated hereby or the process leading thereto (irrespective of whether the Agent has advised or is currently advising the Company on other matters) and the Agent does not have any obligation to the Company with respect to the transactions contemplated hereby except the obligations expressly set forth in this Agreement, (iv) the Agent and its respective Affiliates may be engaged in a broad range of transactions that involve interests that differ from those of the Company, (v) the Agent has not provided any legal, accounting, financial, regulatory, investment or tax advice with respect to the transactions contemplated hereby and the Company has consulted its own legal, accounting, regulatory and tax advisors to the extent it deemed appropriate, and (vi) none of the activities of the Agent in connection with the transactions contemplated herein constitutes a recommendation, investment advice or solicitation of any action by the Agent with respect to any entity or natural person.</w:t>
      </w:r>
    </w:p>
    <w:p>
      <w:pPr>
        <w:spacing w:after="0" w:line="138" w:lineRule="exact"/>
        <w:rPr>
          <w:rFonts w:ascii="Times New Roman" w:cs="Times New Roman" w:eastAsia="Times New Roman" w:hAnsi="Times New Roman"/>
          <w:sz w:val="13"/>
          <w:szCs w:val="13"/>
          <w:color w:val="auto"/>
        </w:rPr>
      </w:pPr>
    </w:p>
    <w:p>
      <w:pPr>
        <w:ind w:left="400" w:right="499" w:firstLine="321"/>
        <w:spacing w:after="0" w:line="265" w:lineRule="auto"/>
        <w:tabs>
          <w:tab w:leader="none" w:pos="911" w:val="left"/>
        </w:tabs>
        <w:numPr>
          <w:ilvl w:val="1"/>
          <w:numId w:val="9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Research Analyst Independence</w:t>
      </w:r>
      <w:r>
        <w:rPr>
          <w:rFonts w:ascii="Times New Roman" w:cs="Times New Roman" w:eastAsia="Times New Roman" w:hAnsi="Times New Roman"/>
          <w:sz w:val="13"/>
          <w:szCs w:val="13"/>
          <w:color w:val="auto"/>
        </w:rPr>
        <w:t>. The Company acknowledges that the Agent’s research analysts and research departments are required to and should be independent from their respective investment banking divisions and are subject to certain regulations and internal policies, and as such the Agent’s research analysts may hold views and make statements or investment recommendations and/or publish research reports with respect to the Company or the offering that differ from the views of their respective investment banking divisions. The Company understands that the Agent is a full service securities firm and as such from time to time, subject to applicable securities laws, may effect transactions for its own account or the account of its customers and hold long or short positions in debt or equity securities of the companies that may be the subject of the transactions contemplated by this Agreement.</w:t>
      </w:r>
    </w:p>
    <w:p>
      <w:pPr>
        <w:spacing w:after="0" w:line="134" w:lineRule="exact"/>
        <w:rPr>
          <w:rFonts w:ascii="Times New Roman" w:cs="Times New Roman" w:eastAsia="Times New Roman" w:hAnsi="Times New Roman"/>
          <w:sz w:val="13"/>
          <w:szCs w:val="13"/>
          <w:color w:val="auto"/>
        </w:rPr>
      </w:pPr>
    </w:p>
    <w:p>
      <w:pPr>
        <w:ind w:left="400" w:right="759" w:firstLine="321"/>
        <w:spacing w:after="0" w:line="297" w:lineRule="auto"/>
        <w:tabs>
          <w:tab w:leader="none" w:pos="919" w:val="left"/>
        </w:tabs>
        <w:numPr>
          <w:ilvl w:val="1"/>
          <w:numId w:val="9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Notices</w:t>
      </w:r>
      <w:r>
        <w:rPr>
          <w:rFonts w:ascii="Times New Roman" w:cs="Times New Roman" w:eastAsia="Times New Roman" w:hAnsi="Times New Roman"/>
          <w:sz w:val="13"/>
          <w:szCs w:val="13"/>
          <w:color w:val="auto"/>
        </w:rPr>
        <w:t>. All communications hereunder shall be in writing and shall be mailed, hand delivered or telecopied and confirmed to the parties hereto as follows:</w:t>
      </w:r>
    </w:p>
    <w:p>
      <w:pPr>
        <w:spacing w:after="0" w:line="3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3"/>
          <w:szCs w:val="13"/>
          <w:color w:val="auto"/>
        </w:rPr>
        <w:t>If to the Agent:</w:t>
      </w:r>
    </w:p>
    <w:p>
      <w:pPr>
        <w:spacing w:after="0" w:line="9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3"/>
          <w:szCs w:val="13"/>
          <w:color w:val="auto"/>
        </w:rPr>
        <w:t>Jefferies LLC</w:t>
      </w:r>
    </w:p>
    <w:p>
      <w:pPr>
        <w:spacing w:after="0" w:line="24"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3"/>
          <w:szCs w:val="13"/>
          <w:color w:val="auto"/>
        </w:rPr>
        <w:t>520 Madison Avenue</w:t>
      </w:r>
    </w:p>
    <w:p>
      <w:pPr>
        <w:spacing w:after="0" w:line="1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3"/>
          <w:szCs w:val="13"/>
          <w:color w:val="auto"/>
        </w:rPr>
        <w:t>New York, NY 10022</w:t>
      </w:r>
    </w:p>
    <w:p>
      <w:pPr>
        <w:spacing w:after="0" w:line="1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3"/>
          <w:szCs w:val="13"/>
          <w:color w:val="auto"/>
        </w:rPr>
        <w:t>Facsimile: (646) 619-4437</w:t>
      </w:r>
    </w:p>
    <w:p>
      <w:pPr>
        <w:spacing w:after="0" w:line="1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3"/>
          <w:szCs w:val="13"/>
          <w:color w:val="auto"/>
        </w:rPr>
        <w:t>Attention: General Counsel</w:t>
      </w:r>
    </w:p>
    <w:p>
      <w:pPr>
        <w:spacing w:after="0" w:line="16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3"/>
          <w:szCs w:val="13"/>
          <w:color w:val="auto"/>
        </w:rPr>
        <w:t>with a copy (which shall not constitute notice) to:</w:t>
      </w:r>
    </w:p>
    <w:p>
      <w:pPr>
        <w:spacing w:after="0" w:line="9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3"/>
          <w:szCs w:val="13"/>
          <w:color w:val="auto"/>
        </w:rPr>
        <w:t>Mintz, Levin, Cohn, Ferris, Glovsky and Popeo, P.C.</w:t>
      </w:r>
    </w:p>
    <w:p>
      <w:pPr>
        <w:spacing w:after="0" w:line="24"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3"/>
          <w:szCs w:val="13"/>
          <w:color w:val="auto"/>
        </w:rPr>
        <w:t>One Financial Center</w:t>
      </w:r>
    </w:p>
    <w:p>
      <w:pPr>
        <w:spacing w:after="0" w:line="1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3"/>
          <w:szCs w:val="13"/>
          <w:color w:val="auto"/>
        </w:rPr>
        <w:t>Boston, MA 02111</w:t>
      </w:r>
    </w:p>
    <w:p>
      <w:pPr>
        <w:spacing w:after="0" w:line="1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3"/>
          <w:szCs w:val="13"/>
          <w:color w:val="auto"/>
        </w:rPr>
        <w:t>Attention: John Rudy, Esq. and Jeffrey Cohan, Esq.</w:t>
      </w:r>
    </w:p>
    <w:p>
      <w:pPr>
        <w:spacing w:after="0" w:line="1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3"/>
          <w:szCs w:val="13"/>
          <w:color w:val="auto"/>
        </w:rPr>
        <w:t>Email: JRudy@mintz.com and JDCohan@mintz.com</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34</w:t>
      </w:r>
    </w:p>
    <w:p>
      <w:pPr>
        <w:sectPr>
          <w:pgSz w:w="11900" w:h="16838" w:orient="portrait"/>
          <w:cols w:equalWidth="0" w:num="1">
            <w:col w:w="9019"/>
          </w:cols>
          <w:pgMar w:left="1440" w:top="238" w:right="1440" w:bottom="1440" w:gutter="0" w:footer="0" w:header="0"/>
        </w:sectPr>
      </w:pPr>
    </w:p>
    <w:bookmarkStart w:id="139" w:name="page140"/>
    <w:bookmarkEnd w:id="139"/>
    <w:p>
      <w:pPr>
        <w:ind w:left="72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14">
                      <a:extLst>
                        <a:ext uri="{28A0092B-C50C-407E-A947-70E740481C1C}"/>
                      </a:extLst>
                    </a:blip>
                    <a:srcRect/>
                    <a:stretch>
                      <a:fillRect/>
                    </a:stretch>
                  </pic:blipFill>
                  <pic:spPr bwMode="auto">
                    <a:xfrm>
                      <a:off x="0" y="0"/>
                      <a:ext cx="7205345" cy="31750"/>
                    </a:xfrm>
                    <a:prstGeom prst="rect">
                      <a:avLst/>
                    </a:prstGeom>
                    <a:noFill/>
                  </pic:spPr>
                </pic:pic>
              </a:graphicData>
            </a:graphic>
          </wp:anchor>
        </w:drawing>
        <w:t>If to the Company:</w:t>
      </w:r>
    </w:p>
    <w:p>
      <w:pPr>
        <w:spacing w:after="0" w:line="9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3"/>
          <w:szCs w:val="13"/>
          <w:color w:val="auto"/>
        </w:rPr>
        <w:t>Cibus, Inc.</w:t>
      </w:r>
    </w:p>
    <w:p>
      <w:pPr>
        <w:spacing w:after="0" w:line="24"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3"/>
          <w:szCs w:val="13"/>
          <w:color w:val="auto"/>
        </w:rPr>
        <w:t>6455 Nancy Ridge Drive</w:t>
      </w:r>
    </w:p>
    <w:p>
      <w:pPr>
        <w:spacing w:after="0" w:line="1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3"/>
          <w:szCs w:val="13"/>
          <w:color w:val="auto"/>
        </w:rPr>
        <w:t>San Diego, CA 92121</w:t>
      </w:r>
    </w:p>
    <w:p>
      <w:pPr>
        <w:spacing w:after="0" w:line="1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3"/>
          <w:szCs w:val="13"/>
          <w:color w:val="auto"/>
        </w:rPr>
        <w:t>Attention: Peter Beetham, Ph.D.</w:t>
      </w:r>
    </w:p>
    <w:p>
      <w:pPr>
        <w:spacing w:after="0" w:line="1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3"/>
          <w:szCs w:val="13"/>
          <w:color w:val="auto"/>
        </w:rPr>
        <w:t>Email: pbeetham@cibus.com</w:t>
      </w:r>
    </w:p>
    <w:p>
      <w:pPr>
        <w:spacing w:after="0" w:line="16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3"/>
          <w:szCs w:val="13"/>
          <w:color w:val="auto"/>
        </w:rPr>
        <w:t>with a copy (which shall not constitute notice) to:</w:t>
      </w:r>
    </w:p>
    <w:p>
      <w:pPr>
        <w:spacing w:after="0" w:line="9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3"/>
          <w:szCs w:val="13"/>
          <w:color w:val="auto"/>
        </w:rPr>
        <w:t>Jones Day</w:t>
      </w:r>
    </w:p>
    <w:p>
      <w:pPr>
        <w:spacing w:after="0" w:line="24"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3"/>
          <w:szCs w:val="13"/>
          <w:color w:val="auto"/>
        </w:rPr>
        <w:t>250 Vesey Street</w:t>
      </w:r>
    </w:p>
    <w:p>
      <w:pPr>
        <w:spacing w:after="0" w:line="1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3"/>
          <w:szCs w:val="13"/>
          <w:color w:val="auto"/>
        </w:rPr>
        <w:t>New York, NY 10281</w:t>
      </w:r>
    </w:p>
    <w:p>
      <w:pPr>
        <w:spacing w:after="0" w:line="1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3"/>
          <w:szCs w:val="13"/>
          <w:color w:val="auto"/>
        </w:rPr>
        <w:t>Attention: Peter Devlin</w:t>
      </w:r>
    </w:p>
    <w:p>
      <w:pPr>
        <w:spacing w:after="0" w:line="1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3"/>
          <w:szCs w:val="13"/>
          <w:color w:val="auto"/>
        </w:rPr>
        <w:t>Email: PDevlin@jonesday.com</w:t>
      </w:r>
    </w:p>
    <w:p>
      <w:pPr>
        <w:spacing w:after="0" w:line="16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3"/>
          <w:szCs w:val="13"/>
          <w:color w:val="auto"/>
        </w:rPr>
        <w:t xml:space="preserve">Any party hereto may change the address for receipt of communications by giving written notice to the others in accordance with this </w:t>
      </w:r>
      <w:r>
        <w:rPr>
          <w:rFonts w:ascii="Times New Roman" w:cs="Times New Roman" w:eastAsia="Times New Roman" w:hAnsi="Times New Roman"/>
          <w:sz w:val="13"/>
          <w:szCs w:val="13"/>
          <w:u w:val="single" w:color="auto"/>
          <w:color w:val="auto"/>
        </w:rPr>
        <w:t>Section 8(d)</w:t>
      </w:r>
      <w:r>
        <w:rPr>
          <w:rFonts w:ascii="Times New Roman" w:cs="Times New Roman" w:eastAsia="Times New Roman" w:hAnsi="Times New Roman"/>
          <w:sz w:val="13"/>
          <w:szCs w:val="13"/>
          <w:color w:val="auto"/>
        </w:rPr>
        <w:t>.</w:t>
      </w:r>
    </w:p>
    <w:p>
      <w:pPr>
        <w:spacing w:after="0" w:line="173" w:lineRule="exact"/>
        <w:rPr>
          <w:sz w:val="20"/>
          <w:szCs w:val="20"/>
          <w:color w:val="auto"/>
        </w:rPr>
      </w:pPr>
    </w:p>
    <w:p>
      <w:pPr>
        <w:jc w:val="both"/>
        <w:ind w:left="400" w:right="599" w:firstLine="321"/>
        <w:spacing w:after="0" w:line="278" w:lineRule="auto"/>
        <w:tabs>
          <w:tab w:leader="none" w:pos="911" w:val="left"/>
        </w:tabs>
        <w:numPr>
          <w:ilvl w:val="1"/>
          <w:numId w:val="9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Successors</w:t>
      </w:r>
      <w:r>
        <w:rPr>
          <w:rFonts w:ascii="Times New Roman" w:cs="Times New Roman" w:eastAsia="Times New Roman" w:hAnsi="Times New Roman"/>
          <w:sz w:val="13"/>
          <w:szCs w:val="13"/>
          <w:color w:val="auto"/>
        </w:rPr>
        <w:t xml:space="preserve">. This Agreement will inure to the benefit of and be binding upon the parties hereto, and to the benefit of the employees, officers and directors and controlling persons referred to in </w:t>
      </w:r>
      <w:r>
        <w:rPr>
          <w:rFonts w:ascii="Times New Roman" w:cs="Times New Roman" w:eastAsia="Times New Roman" w:hAnsi="Times New Roman"/>
          <w:sz w:val="13"/>
          <w:szCs w:val="13"/>
          <w:u w:val="single" w:color="auto"/>
          <w:color w:val="auto"/>
        </w:rPr>
        <w:t>Section 6</w:t>
      </w:r>
      <w:r>
        <w:rPr>
          <w:rFonts w:ascii="Times New Roman" w:cs="Times New Roman" w:eastAsia="Times New Roman" w:hAnsi="Times New Roman"/>
          <w:sz w:val="13"/>
          <w:szCs w:val="13"/>
          <w:color w:val="auto"/>
        </w:rPr>
        <w:t>, and in each case their respective successors, and no other person will have any right or obligation hereunder. The term “successors” shall not include any purchaser of the Shares as such from the Agent merely by reason of such purchase.</w:t>
      </w:r>
    </w:p>
    <w:p>
      <w:pPr>
        <w:spacing w:after="0" w:line="125" w:lineRule="exact"/>
        <w:rPr>
          <w:rFonts w:ascii="Times New Roman" w:cs="Times New Roman" w:eastAsia="Times New Roman" w:hAnsi="Times New Roman"/>
          <w:sz w:val="13"/>
          <w:szCs w:val="13"/>
          <w:color w:val="auto"/>
        </w:rPr>
      </w:pPr>
    </w:p>
    <w:p>
      <w:pPr>
        <w:ind w:left="400" w:right="579" w:firstLine="321"/>
        <w:spacing w:after="0" w:line="271" w:lineRule="auto"/>
        <w:tabs>
          <w:tab w:leader="none" w:pos="896" w:val="left"/>
        </w:tabs>
        <w:numPr>
          <w:ilvl w:val="1"/>
          <w:numId w:val="9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Partial Unenforceability</w:t>
      </w:r>
      <w:r>
        <w:rPr>
          <w:rFonts w:ascii="Times New Roman" w:cs="Times New Roman" w:eastAsia="Times New Roman" w:hAnsi="Times New Roman"/>
          <w:sz w:val="13"/>
          <w:szCs w:val="13"/>
          <w:color w:val="auto"/>
        </w:rPr>
        <w:t>. The invalidity or unenforceability of any Article, Section, paragraph or provision of this Agreement shall not affect the validity or enforceability of any other Article, Section, paragraph or provision hereof. If any Article, Section, paragraph or provision of this Agreement is for any reason determined to be invalid or unenforceable, there shall be deemed to be made such minor changes (and only such minor changes) as are necessary to make it valid and enforceable.</w:t>
      </w:r>
    </w:p>
    <w:p>
      <w:pPr>
        <w:spacing w:after="0" w:line="131" w:lineRule="exact"/>
        <w:rPr>
          <w:rFonts w:ascii="Times New Roman" w:cs="Times New Roman" w:eastAsia="Times New Roman" w:hAnsi="Times New Roman"/>
          <w:sz w:val="13"/>
          <w:szCs w:val="13"/>
          <w:color w:val="auto"/>
        </w:rPr>
      </w:pPr>
    </w:p>
    <w:p>
      <w:pPr>
        <w:ind w:left="400" w:right="439" w:firstLine="321"/>
        <w:spacing w:after="0" w:line="260" w:lineRule="auto"/>
        <w:tabs>
          <w:tab w:leader="none" w:pos="919" w:val="left"/>
        </w:tabs>
        <w:numPr>
          <w:ilvl w:val="1"/>
          <w:numId w:val="9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Recognition of U.S. Special Resolutions Regimes</w:t>
      </w:r>
      <w:r>
        <w:rPr>
          <w:rFonts w:ascii="Times New Roman" w:cs="Times New Roman" w:eastAsia="Times New Roman" w:hAnsi="Times New Roman"/>
          <w:sz w:val="13"/>
          <w:szCs w:val="13"/>
          <w:color w:val="auto"/>
        </w:rPr>
        <w:t>. In the event that the Agent is a Covered Entity (as defined below) and becomes subject to a proceeding under a U.S. Special Resolution Regime, the transfer from the Agent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 In the event that the Agent is a Covered Entity (as defined below) and the Agent or a BHC Act Affiliate (as defined below) of the Agent becomes subject to a proceeding under a U.S. Special Resolution Regime, Default Rights under this Agreement that may be exercised against the Agent are permitted to be exercised to no greater extent than such Default Rights could be exercised under the U.S. Special Resolution Regime if this Agreement were governed by the laws of the United States or a state of the United States. For purposes of this Agreement, (A) “</w:t>
      </w:r>
      <w:r>
        <w:rPr>
          <w:rFonts w:ascii="Times New Roman" w:cs="Times New Roman" w:eastAsia="Times New Roman" w:hAnsi="Times New Roman"/>
          <w:sz w:val="13"/>
          <w:szCs w:val="13"/>
          <w:b w:val="1"/>
          <w:bCs w:val="1"/>
          <w:color w:val="auto"/>
        </w:rPr>
        <w:t>BHC Act Affiliate</w:t>
      </w:r>
      <w:r>
        <w:rPr>
          <w:rFonts w:ascii="Times New Roman" w:cs="Times New Roman" w:eastAsia="Times New Roman" w:hAnsi="Times New Roman"/>
          <w:sz w:val="13"/>
          <w:szCs w:val="13"/>
          <w:color w:val="auto"/>
        </w:rPr>
        <w:t>” has the meaning assigned to the term “affiliate” in, and shall be interpreted in accordance with, 12 U.S.C. § 1841(k); (B) “</w:t>
      </w:r>
      <w:r>
        <w:rPr>
          <w:rFonts w:ascii="Times New Roman" w:cs="Times New Roman" w:eastAsia="Times New Roman" w:hAnsi="Times New Roman"/>
          <w:sz w:val="13"/>
          <w:szCs w:val="13"/>
          <w:b w:val="1"/>
          <w:bCs w:val="1"/>
          <w:color w:val="auto"/>
        </w:rPr>
        <w:t>Covered Entity</w:t>
      </w:r>
      <w:r>
        <w:rPr>
          <w:rFonts w:ascii="Times New Roman" w:cs="Times New Roman" w:eastAsia="Times New Roman" w:hAnsi="Times New Roman"/>
          <w:sz w:val="13"/>
          <w:szCs w:val="13"/>
          <w:color w:val="auto"/>
        </w:rPr>
        <w:t>” means any of the following: (i) a “covered entity” as that term is defined in, and interpreted in accordance with, 12 C.F.R. § 252.82(b); (ii) a “covered bank” as that term is defined in, and interpreted in accordance with, 12 C.F.R.</w:t>
      </w:r>
    </w:p>
    <w:p>
      <w:pPr>
        <w:spacing w:after="0" w:line="5" w:lineRule="exact"/>
        <w:rPr>
          <w:rFonts w:ascii="Times New Roman" w:cs="Times New Roman" w:eastAsia="Times New Roman" w:hAnsi="Times New Roman"/>
          <w:sz w:val="13"/>
          <w:szCs w:val="13"/>
          <w:color w:val="auto"/>
        </w:rPr>
      </w:pPr>
    </w:p>
    <w:p>
      <w:pPr>
        <w:ind w:left="400" w:right="419" w:hanging="8"/>
        <w:spacing w:after="0" w:line="265" w:lineRule="auto"/>
        <w:tabs>
          <w:tab w:leader="none" w:pos="501" w:val="left"/>
        </w:tabs>
        <w:numPr>
          <w:ilvl w:val="0"/>
          <w:numId w:val="9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47.3(b); or (iii) a “covered FSI” as that term is defined in, and interpreted in accordance with, 12 C.F.R. § 382.2(b); (C) “</w:t>
      </w:r>
      <w:r>
        <w:rPr>
          <w:rFonts w:ascii="Times New Roman" w:cs="Times New Roman" w:eastAsia="Times New Roman" w:hAnsi="Times New Roman"/>
          <w:sz w:val="13"/>
          <w:szCs w:val="13"/>
          <w:b w:val="1"/>
          <w:bCs w:val="1"/>
          <w:color w:val="auto"/>
        </w:rPr>
        <w:t>Default Right</w:t>
      </w:r>
      <w:r>
        <w:rPr>
          <w:rFonts w:ascii="Times New Roman" w:cs="Times New Roman" w:eastAsia="Times New Roman" w:hAnsi="Times New Roman"/>
          <w:sz w:val="13"/>
          <w:szCs w:val="13"/>
          <w:color w:val="auto"/>
        </w:rPr>
        <w:t>” has the meaning assigned to that term in, and shall be interpreted in accordance with, 12 C.F.R. §§ 252.81, 47.2 or 382.1, as applicable; and (D) “</w:t>
      </w:r>
      <w:r>
        <w:rPr>
          <w:rFonts w:ascii="Times New Roman" w:cs="Times New Roman" w:eastAsia="Times New Roman" w:hAnsi="Times New Roman"/>
          <w:sz w:val="13"/>
          <w:szCs w:val="13"/>
          <w:b w:val="1"/>
          <w:bCs w:val="1"/>
          <w:color w:val="auto"/>
        </w:rPr>
        <w:t>U.S. Special</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Resolution Regime</w:t>
      </w:r>
      <w:r>
        <w:rPr>
          <w:rFonts w:ascii="Times New Roman" w:cs="Times New Roman" w:eastAsia="Times New Roman" w:hAnsi="Times New Roman"/>
          <w:sz w:val="13"/>
          <w:szCs w:val="13"/>
          <w:color w:val="auto"/>
        </w:rPr>
        <w:t>” means each of (i) the Federal Deposit Insurance Act and the regulations promulgated thereunder and (ii) Title II of the Dodd-Frank</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Wall Street Reform and Consumer Protection Act and the regulations promulgated thereunder.</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35</w:t>
      </w:r>
    </w:p>
    <w:p>
      <w:pPr>
        <w:sectPr>
          <w:pgSz w:w="11900" w:h="16838" w:orient="portrait"/>
          <w:cols w:equalWidth="0" w:num="1">
            <w:col w:w="9019"/>
          </w:cols>
          <w:pgMar w:left="1440" w:top="238" w:right="1440" w:bottom="1440" w:gutter="0" w:footer="0" w:header="0"/>
        </w:sectPr>
      </w:pPr>
    </w:p>
    <w:bookmarkStart w:id="140" w:name="page141"/>
    <w:bookmarkEnd w:id="140"/>
    <w:p>
      <w:pPr>
        <w:ind w:left="400" w:right="419" w:firstLine="321"/>
        <w:spacing w:after="0" w:line="263" w:lineRule="auto"/>
        <w:tabs>
          <w:tab w:leader="none" w:pos="919" w:val="left"/>
        </w:tabs>
        <w:numPr>
          <w:ilvl w:val="0"/>
          <w:numId w:val="9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5">
                      <a:extLst>
                        <a:ext uri="{28A0092B-C50C-407E-A947-70E740481C1C}"/>
                      </a:extLst>
                    </a:blip>
                    <a:srcRect/>
                    <a:stretch>
                      <a:fillRect/>
                    </a:stretch>
                  </pic:blipFill>
                  <pic:spPr bwMode="auto">
                    <a:xfrm>
                      <a:off x="0" y="0"/>
                      <a:ext cx="7205345" cy="31750"/>
                    </a:xfrm>
                    <a:prstGeom prst="rect">
                      <a:avLst/>
                    </a:prstGeom>
                    <a:noFill/>
                  </pic:spPr>
                </pic:pic>
              </a:graphicData>
            </a:graphic>
          </wp:anchor>
        </w:drawing>
        <w:t>Governing Law Provisions</w:t>
      </w:r>
      <w:r>
        <w:rPr>
          <w:rFonts w:ascii="Times New Roman" w:cs="Times New Roman" w:eastAsia="Times New Roman" w:hAnsi="Times New Roman"/>
          <w:sz w:val="13"/>
          <w:szCs w:val="13"/>
          <w:color w:val="auto"/>
        </w:rPr>
        <w:t>. This Agreement shall be governed by and construed in accordance with the internal laws of the State of New York applicable to agreements made and to be performed in such state. Any legal suit, action or proceeding arising out of or based upon this Agreement or the transactions contemplated hereby may be instituted in the federal courts of the United States of America located in the Borough of Manhattan in the City of New York or the courts of the State of New York in each case located in the Borough of Manhattan in the City of New York (collectively, the “</w:t>
      </w:r>
      <w:r>
        <w:rPr>
          <w:rFonts w:ascii="Times New Roman" w:cs="Times New Roman" w:eastAsia="Times New Roman" w:hAnsi="Times New Roman"/>
          <w:sz w:val="13"/>
          <w:szCs w:val="13"/>
          <w:b w:val="1"/>
          <w:bCs w:val="1"/>
          <w:color w:val="auto"/>
        </w:rPr>
        <w:t>Specified Courts</w:t>
      </w:r>
      <w:r>
        <w:rPr>
          <w:rFonts w:ascii="Times New Roman" w:cs="Times New Roman" w:eastAsia="Times New Roman" w:hAnsi="Times New Roman"/>
          <w:sz w:val="13"/>
          <w:szCs w:val="13"/>
          <w:color w:val="auto"/>
        </w:rPr>
        <w:t>”), and each party irrevocably submits to the exclusive jurisdiction (except for proceedings instituted in regard to the enforcement of a judgment of any such court, as to which such jurisdiction is non-exclusive) of such courts in any such suit, action or proceeding. Service of any process, summons, notice or document by mail to such party’s address set forth above shall be effective service of process for any suit, action or other proceeding brought in any such court. The parties irrevocably and unconditionally waive any objection to the laying of venue of any suit, action or other proceeding in the Specified Courts and irrevocably and unconditionally waive and agree not to plead or claim in any such court that any such suit, action or other proceeding brought in any such court has been brought in an inconvenient forum.</w:t>
      </w:r>
    </w:p>
    <w:p>
      <w:pPr>
        <w:spacing w:after="0" w:line="135" w:lineRule="exact"/>
        <w:rPr>
          <w:rFonts w:ascii="Times New Roman" w:cs="Times New Roman" w:eastAsia="Times New Roman" w:hAnsi="Times New Roman"/>
          <w:sz w:val="13"/>
          <w:szCs w:val="13"/>
          <w:color w:val="auto"/>
        </w:rPr>
      </w:pPr>
    </w:p>
    <w:p>
      <w:pPr>
        <w:ind w:left="400" w:right="459" w:firstLine="321"/>
        <w:spacing w:after="0" w:line="264" w:lineRule="auto"/>
        <w:tabs>
          <w:tab w:leader="none" w:pos="889" w:val="left"/>
        </w:tabs>
        <w:numPr>
          <w:ilvl w:val="0"/>
          <w:numId w:val="9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General Provisions</w:t>
      </w:r>
      <w:r>
        <w:rPr>
          <w:rFonts w:ascii="Times New Roman" w:cs="Times New Roman" w:eastAsia="Times New Roman" w:hAnsi="Times New Roman"/>
          <w:sz w:val="13"/>
          <w:szCs w:val="13"/>
          <w:color w:val="auto"/>
        </w:rPr>
        <w:t>. This Agreement constitutes the entire agreement of the parties to this Agreement and supersedes all prior written or oral and all contemporaneous oral agreements, understandings and negotiations with respect to the subject matter hereof. This Agreement may be executed in two or more counterparts, each one of which shall be an original, with the same effect as if the signatures thereto and hereto were upon the same instrument, and may be delivered by facsimile transmission or by electronic delivery of a portable document format (PDF) file (including any electronic signature covered by the U.S. federal ESIGN Act of 2000, Uniform Electronic Transactions Act, the Electronic Signatures and Records Act or other applicable law, e.g., www.docusign.com). This Agreement may not be amended or modified unless in writing by all of the parties hereto, and no condition herein (express or implied) may be waived unless waived in writing by each party whom the condition is meant to benefit. The Article and Section headings herein are for the convenience of the parties only and shall not affect the construction or interpretation of this Agreement.</w:t>
      </w:r>
    </w:p>
    <w:p>
      <w:pPr>
        <w:spacing w:after="0" w:line="1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i w:val="1"/>
          <w:iCs w:val="1"/>
          <w:color w:val="auto"/>
        </w:rPr>
        <w:t>[Signature Page Immediately Follows]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36</w:t>
      </w:r>
    </w:p>
    <w:p>
      <w:pPr>
        <w:sectPr>
          <w:pgSz w:w="11900" w:h="16838" w:orient="portrait"/>
          <w:cols w:equalWidth="0" w:num="1">
            <w:col w:w="9019"/>
          </w:cols>
          <w:pgMar w:left="1440" w:top="238" w:right="1440" w:bottom="1440" w:gutter="0" w:footer="0" w:header="0"/>
        </w:sectPr>
      </w:pPr>
    </w:p>
    <w:bookmarkStart w:id="141" w:name="page142"/>
    <w:bookmarkEnd w:id="141"/>
    <w:p>
      <w:pPr>
        <w:ind w:left="400" w:right="639" w:firstLine="329"/>
        <w:spacing w:after="0" w:line="297"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6">
                      <a:extLst>
                        <a:ext uri="{28A0092B-C50C-407E-A947-70E740481C1C}"/>
                      </a:extLst>
                    </a:blip>
                    <a:srcRect/>
                    <a:stretch>
                      <a:fillRect/>
                    </a:stretch>
                  </pic:blipFill>
                  <pic:spPr bwMode="auto">
                    <a:xfrm>
                      <a:off x="0" y="0"/>
                      <a:ext cx="7205345" cy="31750"/>
                    </a:xfrm>
                    <a:prstGeom prst="rect">
                      <a:avLst/>
                    </a:prstGeom>
                    <a:noFill/>
                  </pic:spPr>
                </pic:pic>
              </a:graphicData>
            </a:graphic>
          </wp:anchor>
        </w:drawing>
        <w:t>If the foregoing is in accordance with your understanding of our agreement, kindly sign and return to the Company the enclosed copies hereof, whereupon this instrument, along with all counterparts hereof, shall become a binding agreement in accordance with its terms</w:t>
      </w:r>
    </w:p>
    <w:p>
      <w:pPr>
        <w:spacing w:after="0" w:line="134"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3"/>
          <w:szCs w:val="13"/>
          <w:color w:val="auto"/>
        </w:rPr>
        <w:t>Very truly yours,</w:t>
      </w:r>
    </w:p>
    <w:p>
      <w:pPr>
        <w:spacing w:after="0" w:line="169"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3"/>
          <w:szCs w:val="13"/>
          <w:b w:val="1"/>
          <w:bCs w:val="1"/>
          <w:color w:val="auto"/>
        </w:rPr>
        <w:t>CIBUS, INC.</w:t>
      </w:r>
    </w:p>
    <w:p>
      <w:pPr>
        <w:spacing w:after="0" w:line="177"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3"/>
          <w:szCs w:val="13"/>
          <w:color w:val="auto"/>
        </w:rPr>
        <w:t>By: /s/ Peter Beetham</w:t>
      </w:r>
    </w:p>
    <w:p>
      <w:pPr>
        <w:spacing w:after="0" w:line="24"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3"/>
          <w:szCs w:val="13"/>
          <w:color w:val="auto"/>
        </w:rPr>
        <w:t>Name: Peter Beetham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3531870</wp:posOffset>
            </wp:positionH>
            <wp:positionV relativeFrom="paragraph">
              <wp:posOffset>-93980</wp:posOffset>
            </wp:positionV>
            <wp:extent cx="1938655" cy="635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7">
                      <a:extLst>
                        <a:ext uri="{28A0092B-C50C-407E-A947-70E740481C1C}"/>
                      </a:extLst>
                    </a:blip>
                    <a:srcRect/>
                    <a:stretch>
                      <a:fillRect/>
                    </a:stretch>
                  </pic:blipFill>
                  <pic:spPr bwMode="auto">
                    <a:xfrm>
                      <a:off x="0" y="0"/>
                      <a:ext cx="1938655" cy="6350"/>
                    </a:xfrm>
                    <a:prstGeom prst="rect">
                      <a:avLst/>
                    </a:prstGeom>
                    <a:noFill/>
                  </pic:spPr>
                </pic:pic>
              </a:graphicData>
            </a:graphic>
          </wp:anchor>
        </w:drawing>
      </w:r>
    </w:p>
    <w:p>
      <w:pPr>
        <w:spacing w:after="0" w:line="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3"/>
          <w:szCs w:val="13"/>
          <w:color w:val="auto"/>
        </w:rPr>
        <w:t>Title: Interim Chief Executive Officer</w:t>
      </w:r>
    </w:p>
    <w:p>
      <w:pPr>
        <w:spacing w:after="0" w:line="16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3"/>
          <w:szCs w:val="13"/>
          <w:color w:val="auto"/>
        </w:rPr>
        <w:t>The foregoing Agreement is hereby confirmed and accepted by the Agent in New York, New York as of the date first above written.</w:t>
      </w:r>
    </w:p>
    <w:p>
      <w:pPr>
        <w:spacing w:after="0" w:line="18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3"/>
          <w:szCs w:val="13"/>
          <w:b w:val="1"/>
          <w:bCs w:val="1"/>
          <w:color w:val="auto"/>
        </w:rPr>
        <w:t>JEFFERIES LLC</w:t>
      </w:r>
    </w:p>
    <w:p>
      <w:pPr>
        <w:spacing w:after="0" w:line="17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3"/>
          <w:szCs w:val="13"/>
          <w:color w:val="auto"/>
        </w:rPr>
        <w:t>By: /s/ Donald Lynaugh</w:t>
      </w:r>
    </w:p>
    <w:p>
      <w:pPr>
        <w:spacing w:after="0" w:line="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3"/>
          <w:szCs w:val="13"/>
          <w:color w:val="auto"/>
        </w:rPr>
        <w:t>Name: Donald Lynaugh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396240</wp:posOffset>
            </wp:positionH>
            <wp:positionV relativeFrom="paragraph">
              <wp:posOffset>-93980</wp:posOffset>
            </wp:positionV>
            <wp:extent cx="1938655" cy="635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8">
                      <a:extLst>
                        <a:ext uri="{28A0092B-C50C-407E-A947-70E740481C1C}"/>
                      </a:extLst>
                    </a:blip>
                    <a:srcRect/>
                    <a:stretch>
                      <a:fillRect/>
                    </a:stretch>
                  </pic:blipFill>
                  <pic:spPr bwMode="auto">
                    <a:xfrm>
                      <a:off x="0" y="0"/>
                      <a:ext cx="1938655" cy="6350"/>
                    </a:xfrm>
                    <a:prstGeom prst="rect">
                      <a:avLst/>
                    </a:prstGeom>
                    <a:noFill/>
                  </pic:spPr>
                </pic:pic>
              </a:graphicData>
            </a:graphic>
          </wp:anchor>
        </w:drawing>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3"/>
          <w:szCs w:val="13"/>
          <w:color w:val="auto"/>
        </w:rPr>
        <w:t>Title: Managing Director</w:t>
      </w:r>
    </w:p>
    <w:p>
      <w:pPr>
        <w:sectPr>
          <w:pgSz w:w="11900" w:h="16838" w:orient="portrait"/>
          <w:cols w:equalWidth="0" w:num="1">
            <w:col w:w="9019"/>
          </w:cols>
          <w:pgMar w:left="1440" w:top="238" w:right="1440" w:bottom="1440" w:gutter="0" w:footer="0" w:header="0"/>
        </w:sectPr>
      </w:pPr>
    </w:p>
    <w:bookmarkStart w:id="142" w:name="page143"/>
    <w:bookmarkEnd w:id="142"/>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9">
                      <a:extLst>
                        <a:ext uri="{28A0092B-C50C-407E-A947-70E740481C1C}"/>
                      </a:extLst>
                    </a:blip>
                    <a:srcRect/>
                    <a:stretch>
                      <a:fillRect/>
                    </a:stretch>
                  </pic:blipFill>
                  <pic:spPr bwMode="auto">
                    <a:xfrm>
                      <a:off x="0" y="0"/>
                      <a:ext cx="7205345" cy="31750"/>
                    </a:xfrm>
                    <a:prstGeom prst="rect">
                      <a:avLst/>
                    </a:prstGeom>
                    <a:noFill/>
                  </pic:spPr>
                </pic:pic>
              </a:graphicData>
            </a:graphic>
          </wp:anchor>
        </w:drawing>
        <w:t>EXHIBIT A</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ISSUANCE NOTICE</w:t>
      </w:r>
    </w:p>
    <w:p>
      <w:pPr>
        <w:spacing w:after="0" w:line="17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3"/>
          <w:szCs w:val="13"/>
          <w:color w:val="auto"/>
        </w:rPr>
        <w:t>[Date]</w:t>
      </w:r>
    </w:p>
    <w:p>
      <w:pPr>
        <w:spacing w:after="0" w:line="17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3"/>
          <w:szCs w:val="13"/>
          <w:color w:val="auto"/>
        </w:rPr>
        <w:t>Jefferies LLC</w:t>
      </w:r>
    </w:p>
    <w:p>
      <w:pPr>
        <w:spacing w:after="0" w:line="2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3"/>
          <w:szCs w:val="13"/>
          <w:color w:val="auto"/>
        </w:rPr>
        <w:t>520 Madison Avenue</w:t>
      </w:r>
    </w:p>
    <w:p>
      <w:pPr>
        <w:spacing w:after="0" w:line="1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3"/>
          <w:szCs w:val="13"/>
          <w:color w:val="auto"/>
        </w:rPr>
        <w:t>New York, New York 10022</w:t>
      </w:r>
    </w:p>
    <w:p>
      <w:pPr>
        <w:spacing w:after="0" w:line="16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3"/>
          <w:szCs w:val="13"/>
          <w:color w:val="auto"/>
        </w:rPr>
        <w:t>Attn: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474345</wp:posOffset>
            </wp:positionH>
            <wp:positionV relativeFrom="paragraph">
              <wp:posOffset>-3175</wp:posOffset>
            </wp:positionV>
            <wp:extent cx="426720" cy="635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0">
                      <a:extLst>
                        <a:ext uri="{28A0092B-C50C-407E-A947-70E740481C1C}"/>
                      </a:extLst>
                    </a:blip>
                    <a:srcRect/>
                    <a:stretch>
                      <a:fillRect/>
                    </a:stretch>
                  </pic:blipFill>
                  <pic:spPr bwMode="auto">
                    <a:xfrm>
                      <a:off x="0" y="0"/>
                      <a:ext cx="426720" cy="6350"/>
                    </a:xfrm>
                    <a:prstGeom prst="rect">
                      <a:avLst/>
                    </a:prstGeom>
                    <a:noFill/>
                  </pic:spPr>
                </pic:pic>
              </a:graphicData>
            </a:graphic>
          </wp:anchor>
        </w:drawing>
      </w:r>
    </w:p>
    <w:p>
      <w:pPr>
        <w:spacing w:after="0" w:line="149" w:lineRule="exact"/>
        <w:rPr>
          <w:sz w:val="20"/>
          <w:szCs w:val="20"/>
          <w:color w:val="auto"/>
        </w:rPr>
      </w:pPr>
    </w:p>
    <w:p>
      <w:pPr>
        <w:jc w:val="both"/>
        <w:ind w:left="400" w:right="679"/>
        <w:spacing w:after="0" w:line="281" w:lineRule="auto"/>
        <w:rPr>
          <w:sz w:val="20"/>
          <w:szCs w:val="20"/>
          <w:color w:val="auto"/>
        </w:rPr>
      </w:pPr>
      <w:r>
        <w:rPr>
          <w:rFonts w:ascii="Times New Roman" w:cs="Times New Roman" w:eastAsia="Times New Roman" w:hAnsi="Times New Roman"/>
          <w:sz w:val="13"/>
          <w:szCs w:val="13"/>
          <w:color w:val="auto"/>
        </w:rPr>
        <w:t>Reference is made to the Open Market Sale Agreement between Cibus, Inc. (the “</w:t>
      </w:r>
      <w:r>
        <w:rPr>
          <w:rFonts w:ascii="Times New Roman" w:cs="Times New Roman" w:eastAsia="Times New Roman" w:hAnsi="Times New Roman"/>
          <w:sz w:val="13"/>
          <w:szCs w:val="13"/>
          <w:b w:val="1"/>
          <w:bCs w:val="1"/>
          <w:color w:val="auto"/>
        </w:rPr>
        <w:t>Company</w:t>
      </w:r>
      <w:r>
        <w:rPr>
          <w:rFonts w:ascii="Times New Roman" w:cs="Times New Roman" w:eastAsia="Times New Roman" w:hAnsi="Times New Roman"/>
          <w:sz w:val="13"/>
          <w:szCs w:val="13"/>
          <w:color w:val="auto"/>
        </w:rPr>
        <w:t>”) and Jefferies LLC (the “</w:t>
      </w:r>
      <w:r>
        <w:rPr>
          <w:rFonts w:ascii="Times New Roman" w:cs="Times New Roman" w:eastAsia="Times New Roman" w:hAnsi="Times New Roman"/>
          <w:sz w:val="13"/>
          <w:szCs w:val="13"/>
          <w:b w:val="1"/>
          <w:bCs w:val="1"/>
          <w:color w:val="auto"/>
        </w:rPr>
        <w:t>Agent</w:t>
      </w:r>
      <w:r>
        <w:rPr>
          <w:rFonts w:ascii="Times New Roman" w:cs="Times New Roman" w:eastAsia="Times New Roman" w:hAnsi="Times New Roman"/>
          <w:sz w:val="13"/>
          <w:szCs w:val="13"/>
          <w:color w:val="auto"/>
        </w:rPr>
        <w:t>”) dated as of May 15, 2026 (the “</w:t>
      </w:r>
      <w:r>
        <w:rPr>
          <w:rFonts w:ascii="Times New Roman" w:cs="Times New Roman" w:eastAsia="Times New Roman" w:hAnsi="Times New Roman"/>
          <w:sz w:val="13"/>
          <w:szCs w:val="13"/>
          <w:b w:val="1"/>
          <w:bCs w:val="1"/>
          <w:color w:val="auto"/>
        </w:rPr>
        <w:t>Sales Agreement</w:t>
      </w:r>
      <w:r>
        <w:rPr>
          <w:rFonts w:ascii="Times New Roman" w:cs="Times New Roman" w:eastAsia="Times New Roman" w:hAnsi="Times New Roman"/>
          <w:sz w:val="13"/>
          <w:szCs w:val="13"/>
          <w:color w:val="auto"/>
        </w:rPr>
        <w:t>”). The Company confirms that all conditions to the delivery of this Issuance Notice are satisfied as of the date hereof. Capitalized terms used herein and not defined shall have the respective meanings ascribed to such terms in the Sales Agreement.</w:t>
      </w:r>
    </w:p>
    <w:p>
      <w:pPr>
        <w:spacing w:after="0" w:line="12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3"/>
          <w:szCs w:val="13"/>
          <w:color w:val="auto"/>
        </w:rPr>
        <w:t>Date that the Base Registration Statement Expires: October 27, 2026</w:t>
      </w:r>
    </w:p>
    <w:p>
      <w:pPr>
        <w:spacing w:after="0" w:line="17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3"/>
          <w:szCs w:val="13"/>
          <w:color w:val="auto"/>
        </w:rPr>
        <w:t xml:space="preserve">Date of Delivery of Issuance Notice (determined pursuant to </w:t>
      </w:r>
      <w:r>
        <w:rPr>
          <w:rFonts w:ascii="Times New Roman" w:cs="Times New Roman" w:eastAsia="Times New Roman" w:hAnsi="Times New Roman"/>
          <w:sz w:val="13"/>
          <w:szCs w:val="13"/>
          <w:u w:val="single" w:color="auto"/>
          <w:color w:val="auto"/>
        </w:rPr>
        <w:t>Section 3(b)(i)</w:t>
      </w:r>
      <w:r>
        <w:rPr>
          <w:rFonts w:ascii="Times New Roman" w:cs="Times New Roman" w:eastAsia="Times New Roman" w:hAnsi="Times New Roman"/>
          <w:sz w:val="13"/>
          <w:szCs w:val="13"/>
          <w:color w:val="auto"/>
        </w:rPr>
        <w:t>): _______________</w:t>
      </w:r>
    </w:p>
    <w:p>
      <w:pPr>
        <w:spacing w:after="0" w:line="17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3"/>
          <w:szCs w:val="13"/>
          <w:color w:val="auto"/>
        </w:rPr>
        <w:t xml:space="preserve">Issuance Amount (equal to the total Sales Price for such Shares):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2525395</wp:posOffset>
            </wp:positionH>
            <wp:positionV relativeFrom="paragraph">
              <wp:posOffset>-3175</wp:posOffset>
            </wp:positionV>
            <wp:extent cx="1044575" cy="635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1">
                      <a:extLst>
                        <a:ext uri="{28A0092B-C50C-407E-A947-70E740481C1C}"/>
                      </a:extLst>
                    </a:blip>
                    <a:srcRect/>
                    <a:stretch>
                      <a:fillRect/>
                    </a:stretch>
                  </pic:blipFill>
                  <pic:spPr bwMode="auto">
                    <a:xfrm>
                      <a:off x="0" y="0"/>
                      <a:ext cx="1044575" cy="6350"/>
                    </a:xfrm>
                    <a:prstGeom prst="rect">
                      <a:avLst/>
                    </a:prstGeom>
                    <a:noFill/>
                  </pic:spPr>
                </pic:pic>
              </a:graphicData>
            </a:graphic>
          </wp:anchor>
        </w:drawing>
      </w:r>
    </w:p>
    <w:p>
      <w:pPr>
        <w:spacing w:after="0" w:line="15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3"/>
          <w:szCs w:val="13"/>
          <w:color w:val="auto"/>
        </w:rPr>
        <w:t xml:space="preserve">Number of days in selling period: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1419225</wp:posOffset>
            </wp:positionH>
            <wp:positionV relativeFrom="paragraph">
              <wp:posOffset>-3175</wp:posOffset>
            </wp:positionV>
            <wp:extent cx="1023620" cy="635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2">
                      <a:extLst>
                        <a:ext uri="{28A0092B-C50C-407E-A947-70E740481C1C}"/>
                      </a:extLst>
                    </a:blip>
                    <a:srcRect/>
                    <a:stretch>
                      <a:fillRect/>
                    </a:stretch>
                  </pic:blipFill>
                  <pic:spPr bwMode="auto">
                    <a:xfrm>
                      <a:off x="0" y="0"/>
                      <a:ext cx="1023620" cy="6350"/>
                    </a:xfrm>
                    <a:prstGeom prst="rect">
                      <a:avLst/>
                    </a:prstGeom>
                    <a:noFill/>
                  </pic:spPr>
                </pic:pic>
              </a:graphicData>
            </a:graphic>
          </wp:anchor>
        </w:drawing>
      </w:r>
    </w:p>
    <w:p>
      <w:pPr>
        <w:spacing w:after="0" w:line="15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3"/>
          <w:szCs w:val="13"/>
          <w:color w:val="auto"/>
        </w:rPr>
        <w:t xml:space="preserve">First date of selling period: 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1407795</wp:posOffset>
            </wp:positionH>
            <wp:positionV relativeFrom="paragraph">
              <wp:posOffset>-3175</wp:posOffset>
            </wp:positionV>
            <wp:extent cx="1040765" cy="635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23">
                      <a:extLst>
                        <a:ext uri="{28A0092B-C50C-407E-A947-70E740481C1C}"/>
                      </a:extLst>
                    </a:blip>
                    <a:srcRect/>
                    <a:stretch>
                      <a:fillRect/>
                    </a:stretch>
                  </pic:blipFill>
                  <pic:spPr bwMode="auto">
                    <a:xfrm>
                      <a:off x="0" y="0"/>
                      <a:ext cx="1040765" cy="6350"/>
                    </a:xfrm>
                    <a:prstGeom prst="rect">
                      <a:avLst/>
                    </a:prstGeom>
                    <a:noFill/>
                  </pic:spPr>
                </pic:pic>
              </a:graphicData>
            </a:graphic>
          </wp:anchor>
        </w:drawing>
      </w:r>
    </w:p>
    <w:p>
      <w:pPr>
        <w:spacing w:after="0" w:line="15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3"/>
          <w:szCs w:val="13"/>
          <w:color w:val="auto"/>
        </w:rPr>
        <w:t xml:space="preserve">Last date of selling period: 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1397635</wp:posOffset>
            </wp:positionH>
            <wp:positionV relativeFrom="paragraph">
              <wp:posOffset>-3175</wp:posOffset>
            </wp:positionV>
            <wp:extent cx="1040765" cy="635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24">
                      <a:extLst>
                        <a:ext uri="{28A0092B-C50C-407E-A947-70E740481C1C}"/>
                      </a:extLst>
                    </a:blip>
                    <a:srcRect/>
                    <a:stretch>
                      <a:fillRect/>
                    </a:stretch>
                  </pic:blipFill>
                  <pic:spPr bwMode="auto">
                    <a:xfrm>
                      <a:off x="0" y="0"/>
                      <a:ext cx="1040765" cy="6350"/>
                    </a:xfrm>
                    <a:prstGeom prst="rect">
                      <a:avLst/>
                    </a:prstGeom>
                    <a:noFill/>
                  </pic:spPr>
                </pic:pic>
              </a:graphicData>
            </a:graphic>
          </wp:anchor>
        </w:drawing>
      </w:r>
    </w:p>
    <w:p>
      <w:pPr>
        <w:spacing w:after="0" w:line="15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3"/>
          <w:szCs w:val="13"/>
          <w:color w:val="auto"/>
        </w:rPr>
        <w:t xml:space="preserve">Settlement Date(s) if other than standard T+1 settlement: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2215515</wp:posOffset>
            </wp:positionH>
            <wp:positionV relativeFrom="paragraph">
              <wp:posOffset>-3175</wp:posOffset>
            </wp:positionV>
            <wp:extent cx="1023620" cy="635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5">
                      <a:extLst>
                        <a:ext uri="{28A0092B-C50C-407E-A947-70E740481C1C}"/>
                      </a:extLst>
                    </a:blip>
                    <a:srcRect/>
                    <a:stretch>
                      <a:fillRect/>
                    </a:stretch>
                  </pic:blipFill>
                  <pic:spPr bwMode="auto">
                    <a:xfrm>
                      <a:off x="0" y="0"/>
                      <a:ext cx="1023620" cy="6350"/>
                    </a:xfrm>
                    <a:prstGeom prst="rect">
                      <a:avLst/>
                    </a:prstGeom>
                    <a:noFill/>
                  </pic:spPr>
                </pic:pic>
              </a:graphicData>
            </a:graphic>
          </wp:anchor>
        </w:drawing>
      </w:r>
    </w:p>
    <w:p>
      <w:pPr>
        <w:spacing w:after="0" w:line="153" w:lineRule="exact"/>
        <w:rPr>
          <w:sz w:val="20"/>
          <w:szCs w:val="20"/>
          <w:color w:val="auto"/>
        </w:rPr>
      </w:pPr>
    </w:p>
    <w:p>
      <w:pPr>
        <w:ind w:left="400" w:right="619"/>
        <w:spacing w:after="0" w:line="297" w:lineRule="auto"/>
        <w:rPr>
          <w:sz w:val="20"/>
          <w:szCs w:val="20"/>
          <w:color w:val="auto"/>
        </w:rPr>
      </w:pPr>
      <w:r>
        <w:rPr>
          <w:rFonts w:ascii="Times New Roman" w:cs="Times New Roman" w:eastAsia="Times New Roman" w:hAnsi="Times New Roman"/>
          <w:sz w:val="13"/>
          <w:szCs w:val="13"/>
          <w:color w:val="auto"/>
        </w:rPr>
        <w:t>Floor Price Limitation (in no event less than $1.00 without the prior written consent of the Agent, which consent may be withheld in the Agent’s sole discretion): $ ____ per share</w:t>
      </w:r>
    </w:p>
    <w:p>
      <w:pPr>
        <w:spacing w:after="0" w:line="108" w:lineRule="exact"/>
        <w:rPr>
          <w:sz w:val="20"/>
          <w:szCs w:val="20"/>
          <w:color w:val="auto"/>
        </w:rPr>
      </w:pPr>
    </w:p>
    <w:tbl>
      <w:tblPr>
        <w:tblLayout w:type="fixed"/>
        <w:tblInd w:w="400" w:type="dxa"/>
        <w:tblCellMar>
          <w:top w:w="0" w:type="dxa"/>
          <w:left w:w="0" w:type="dxa"/>
          <w:bottom w:w="0" w:type="dxa"/>
          <w:right w:w="0" w:type="dxa"/>
        </w:tblCellMar>
      </w:tblPr>
      <w:tr>
        <w:trPr>
          <w:trHeight w:val="149"/>
        </w:trPr>
        <w:tc>
          <w:tcPr>
            <w:tcW w:w="516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 xml:space="preserve">Comments:                                                                                                     </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w w:val="98"/>
              </w:rPr>
              <w:t> </w:t>
            </w:r>
          </w:p>
        </w:tc>
        <w:tc>
          <w:tcPr>
            <w:tcW w:w="2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 xml:space="preserve">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2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 xml:space="preserve">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0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 xml:space="preserve">                   </w:t>
            </w:r>
          </w:p>
        </w:tc>
      </w:tr>
      <w:tr>
        <w:trPr>
          <w:trHeight w:val="323"/>
        </w:trPr>
        <w:tc>
          <w:tcPr>
            <w:tcW w:w="640" w:type="dxa"/>
            <w:vAlign w:val="bottom"/>
          </w:tcPr>
          <w:p>
            <w:pPr>
              <w:spacing w:after="0"/>
              <w:rPr>
                <w:sz w:val="24"/>
                <w:szCs w:val="24"/>
                <w:color w:val="auto"/>
              </w:rPr>
            </w:pPr>
          </w:p>
        </w:tc>
        <w:tc>
          <w:tcPr>
            <w:tcW w:w="4300" w:type="dxa"/>
            <w:vAlign w:val="bottom"/>
            <w:tcBorders>
              <w:top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 xml:space="preserve">    </w:t>
            </w:r>
          </w:p>
        </w:tc>
        <w:tc>
          <w:tcPr>
            <w:tcW w:w="12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8"/>
                <w:szCs w:val="8"/>
                <w:color w:val="auto"/>
                <w:w w:val="74"/>
              </w:rPr>
              <w:t> </w:t>
            </w:r>
          </w:p>
        </w:tc>
        <w:tc>
          <w:tcPr>
            <w:tcW w:w="28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 xml:space="preserve">    </w:t>
            </w:r>
          </w:p>
        </w:tc>
        <w:tc>
          <w:tcPr>
            <w:tcW w:w="14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26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3"/>
                <w:szCs w:val="13"/>
                <w:color w:val="auto"/>
              </w:rPr>
              <w:t xml:space="preserve">    </w:t>
            </w:r>
          </w:p>
        </w:tc>
        <w:tc>
          <w:tcPr>
            <w:tcW w:w="14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30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3"/>
                <w:szCs w:val="13"/>
                <w:color w:val="auto"/>
              </w:rPr>
              <w:t xml:space="preserve">    </w:t>
            </w:r>
          </w:p>
        </w:tc>
        <w:tc>
          <w:tcPr>
            <w:tcW w:w="700" w:type="dxa"/>
            <w:vAlign w:val="bottom"/>
            <w:tcBorders>
              <w:top w:val="single" w:sz="8" w:color="auto"/>
            </w:tcBorders>
          </w:tcPr>
          <w:p>
            <w:pPr>
              <w:spacing w:after="0"/>
              <w:rPr>
                <w:sz w:val="24"/>
                <w:szCs w:val="24"/>
                <w:color w:val="auto"/>
              </w:rPr>
            </w:pPr>
          </w:p>
        </w:tc>
      </w:tr>
    </w:tbl>
    <w:p>
      <w:pPr>
        <w:spacing w:after="0" w:line="169"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3"/>
          <w:szCs w:val="13"/>
          <w:color w:val="auto"/>
        </w:rPr>
        <w:t>By:</w:t>
      </w:r>
    </w:p>
    <w:p>
      <w:pPr>
        <w:spacing w:after="0" w:line="24"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3"/>
          <w:szCs w:val="13"/>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3531870</wp:posOffset>
            </wp:positionH>
            <wp:positionV relativeFrom="paragraph">
              <wp:posOffset>-93980</wp:posOffset>
            </wp:positionV>
            <wp:extent cx="1938655" cy="635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6">
                      <a:extLst>
                        <a:ext uri="{28A0092B-C50C-407E-A947-70E740481C1C}"/>
                      </a:extLst>
                    </a:blip>
                    <a:srcRect/>
                    <a:stretch>
                      <a:fillRect/>
                    </a:stretch>
                  </pic:blipFill>
                  <pic:spPr bwMode="auto">
                    <a:xfrm>
                      <a:off x="0" y="0"/>
                      <a:ext cx="1938655" cy="6350"/>
                    </a:xfrm>
                    <a:prstGeom prst="rect">
                      <a:avLst/>
                    </a:prstGeom>
                    <a:noFill/>
                  </pic:spPr>
                </pic:pic>
              </a:graphicData>
            </a:graphic>
          </wp:anchor>
        </w:drawing>
      </w:r>
    </w:p>
    <w:p>
      <w:pPr>
        <w:spacing w:after="0" w:line="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3"/>
          <w:szCs w:val="13"/>
          <w:color w:val="auto"/>
        </w:rPr>
        <w:t>Title:</w:t>
      </w:r>
    </w:p>
    <w:p>
      <w:pPr>
        <w:sectPr>
          <w:pgSz w:w="11900" w:h="16838" w:orient="portrait"/>
          <w:cols w:equalWidth="0" w:num="1">
            <w:col w:w="9019"/>
          </w:cols>
          <w:pgMar w:left="1440" w:top="234" w:right="1440" w:bottom="1440" w:gutter="0" w:footer="0" w:header="0"/>
        </w:sectPr>
      </w:pPr>
    </w:p>
    <w:bookmarkStart w:id="143" w:name="page144"/>
    <w:bookmarkEnd w:id="143"/>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7">
                      <a:extLst>
                        <a:ext uri="{28A0092B-C50C-407E-A947-70E740481C1C}"/>
                      </a:extLst>
                    </a:blip>
                    <a:srcRect/>
                    <a:stretch>
                      <a:fillRect/>
                    </a:stretch>
                  </pic:blipFill>
                  <pic:spPr bwMode="auto">
                    <a:xfrm>
                      <a:off x="0" y="0"/>
                      <a:ext cx="7205345" cy="31750"/>
                    </a:xfrm>
                    <a:prstGeom prst="rect">
                      <a:avLst/>
                    </a:prstGeom>
                    <a:noFill/>
                  </pic:spPr>
                </pic:pic>
              </a:graphicData>
            </a:graphic>
          </wp:anchor>
        </w:drawing>
        <w:t>Schedule A</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Notice Parties</w:t>
      </w:r>
    </w:p>
    <w:p>
      <w:pPr>
        <w:spacing w:after="0" w:line="17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3"/>
          <w:szCs w:val="13"/>
          <w:u w:val="single" w:color="auto"/>
          <w:color w:val="auto"/>
        </w:rPr>
        <w:t>The Company</w:t>
      </w:r>
    </w:p>
    <w:p>
      <w:pPr>
        <w:spacing w:after="0" w:line="17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3"/>
          <w:szCs w:val="13"/>
          <w:color w:val="auto"/>
        </w:rPr>
        <w:t>Peter Beetham, Ph.D.</w:t>
      </w:r>
    </w:p>
    <w:p>
      <w:pPr>
        <w:spacing w:after="0" w:line="2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3"/>
          <w:szCs w:val="13"/>
          <w:color w:val="auto"/>
        </w:rPr>
        <w:t>pbeetham@cibus.com</w:t>
      </w:r>
    </w:p>
    <w:p>
      <w:pPr>
        <w:spacing w:after="0" w:line="16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3"/>
          <w:szCs w:val="13"/>
          <w:color w:val="auto"/>
        </w:rPr>
        <w:t>Cornelis (Carlo) Broos</w:t>
      </w:r>
    </w:p>
    <w:p>
      <w:pPr>
        <w:spacing w:after="0" w:line="2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3"/>
          <w:szCs w:val="13"/>
          <w:color w:val="auto"/>
        </w:rPr>
        <w:t>cbroos@cibus.com</w:t>
      </w:r>
    </w:p>
    <w:p>
      <w:pPr>
        <w:spacing w:after="0" w:line="16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3"/>
          <w:szCs w:val="13"/>
          <w:color w:val="auto"/>
        </w:rPr>
        <w:t>Jason Stokes, Esq.</w:t>
      </w:r>
    </w:p>
    <w:p>
      <w:pPr>
        <w:spacing w:after="0" w:line="2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3"/>
          <w:szCs w:val="13"/>
          <w:color w:val="auto"/>
        </w:rPr>
        <w:t>jstokes@cibus.com</w:t>
      </w:r>
    </w:p>
    <w:p>
      <w:pPr>
        <w:spacing w:after="0" w:line="16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3"/>
          <w:szCs w:val="13"/>
          <w:u w:val="single" w:color="auto"/>
          <w:color w:val="auto"/>
        </w:rPr>
        <w:t>The Agent</w:t>
      </w:r>
    </w:p>
    <w:p>
      <w:pPr>
        <w:spacing w:after="0" w:line="17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3"/>
          <w:szCs w:val="13"/>
          <w:color w:val="auto"/>
        </w:rPr>
        <w:t>Donald Lynaugh</w:t>
      </w:r>
    </w:p>
    <w:p>
      <w:pPr>
        <w:spacing w:after="0" w:line="2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3"/>
          <w:szCs w:val="13"/>
          <w:color w:val="auto"/>
        </w:rPr>
        <w:t>dlynaugh@jefferies.com</w:t>
      </w:r>
    </w:p>
    <w:p>
      <w:pPr>
        <w:spacing w:after="0" w:line="16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3"/>
          <w:szCs w:val="13"/>
          <w:color w:val="auto"/>
        </w:rPr>
        <w:t>Michael Magarro</w:t>
      </w:r>
    </w:p>
    <w:p>
      <w:pPr>
        <w:spacing w:after="0" w:line="2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3"/>
          <w:szCs w:val="13"/>
          <w:color w:val="auto"/>
        </w:rPr>
        <w:t>mmagarro@jefferies.com</w:t>
      </w:r>
    </w:p>
    <w:p>
      <w:pPr>
        <w:sectPr>
          <w:pgSz w:w="11900" w:h="16838" w:orient="portrait"/>
          <w:cols w:equalWidth="0" w:num="1">
            <w:col w:w="9019"/>
          </w:cols>
          <w:pgMar w:left="1440" w:top="234" w:right="1440" w:bottom="1440" w:gutter="0" w:footer="0" w:header="0"/>
        </w:sectPr>
      </w:pPr>
    </w:p>
    <w:bookmarkStart w:id="144" w:name="page145"/>
    <w:bookmarkEnd w:id="144"/>
    <w:p>
      <w:pPr>
        <w:jc w:val="right"/>
        <w:ind w:right="399"/>
        <w:spacing w:after="0"/>
        <w:rPr>
          <w:sz w:val="20"/>
          <w:szCs w:val="20"/>
          <w:color w:val="auto"/>
        </w:rPr>
      </w:pPr>
      <w:r>
        <w:rPr>
          <w:rFonts w:ascii="Times New Roman" w:cs="Times New Roman" w:eastAsia="Times New Roman" w:hAnsi="Times New Roman"/>
          <w:sz w:val="13"/>
          <w:szCs w:val="13"/>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2392680</wp:posOffset>
            </wp:positionH>
            <wp:positionV relativeFrom="paragraph">
              <wp:posOffset>133350</wp:posOffset>
            </wp:positionV>
            <wp:extent cx="934085" cy="16002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8">
                      <a:extLst>
                        <a:ext uri="{28A0092B-C50C-407E-A947-70E740481C1C}"/>
                      </a:extLst>
                    </a:blip>
                    <a:srcRect/>
                    <a:stretch>
                      <a:fillRect/>
                    </a:stretch>
                  </pic:blipFill>
                  <pic:spPr bwMode="auto">
                    <a:xfrm>
                      <a:off x="0" y="0"/>
                      <a:ext cx="934085" cy="160020"/>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250 VESEY STREET • NEW YORK, NEW YORK 10281.1047</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TELEPHONE: +1.212.326.3939 • FACSIMILE: +1.212.755.7306</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May 15, 2026</w:t>
      </w:r>
    </w:p>
    <w:p>
      <w:pPr>
        <w:spacing w:after="0" w:line="25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3"/>
          <w:szCs w:val="13"/>
          <w:color w:val="auto"/>
        </w:rPr>
        <w:t>Cibus, Inc.</w:t>
      </w:r>
    </w:p>
    <w:p>
      <w:pPr>
        <w:spacing w:after="0" w:line="2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3"/>
          <w:szCs w:val="13"/>
          <w:color w:val="auto"/>
        </w:rPr>
        <w:t>6455 Nancy Ridge Drive</w:t>
      </w:r>
    </w:p>
    <w:p>
      <w:pPr>
        <w:spacing w:after="0" w:line="1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3"/>
          <w:szCs w:val="13"/>
          <w:color w:val="auto"/>
        </w:rPr>
        <w:t>San Diego, CA 92121</w:t>
      </w:r>
    </w:p>
    <w:p>
      <w:pPr>
        <w:spacing w:after="0" w:line="90" w:lineRule="exact"/>
        <w:rPr>
          <w:sz w:val="20"/>
          <w:szCs w:val="20"/>
          <w:color w:val="auto"/>
        </w:rPr>
      </w:pPr>
    </w:p>
    <w:p>
      <w:pPr>
        <w:ind w:left="720"/>
        <w:spacing w:after="0"/>
        <w:tabs>
          <w:tab w:leader="none" w:pos="1100" w:val="left"/>
        </w:tabs>
        <w:rPr>
          <w:sz w:val="20"/>
          <w:szCs w:val="20"/>
          <w:color w:val="auto"/>
        </w:rPr>
      </w:pPr>
      <w:r>
        <w:rPr>
          <w:rFonts w:ascii="Times New Roman" w:cs="Times New Roman" w:eastAsia="Times New Roman" w:hAnsi="Times New Roman"/>
          <w:sz w:val="13"/>
          <w:szCs w:val="13"/>
          <w:color w:val="auto"/>
        </w:rPr>
        <w:t>Re:</w:t>
      </w:r>
      <w:r>
        <w:rPr>
          <w:sz w:val="20"/>
          <w:szCs w:val="20"/>
          <w:color w:val="auto"/>
        </w:rPr>
        <w:tab/>
      </w:r>
      <w:r>
        <w:rPr>
          <w:rFonts w:ascii="Times New Roman" w:cs="Times New Roman" w:eastAsia="Times New Roman" w:hAnsi="Times New Roman"/>
          <w:sz w:val="13"/>
          <w:szCs w:val="13"/>
          <w:u w:val="single" w:color="auto"/>
          <w:color w:val="auto"/>
        </w:rPr>
        <w:t>Shelf Registration Statement on Form S-3 Filed by Cibus, Inc.</w:t>
      </w:r>
    </w:p>
    <w:p>
      <w:pPr>
        <w:spacing w:after="0" w:line="17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3"/>
          <w:szCs w:val="13"/>
          <w:color w:val="auto"/>
        </w:rPr>
        <w:t>Ladies and Gentlemen:</w:t>
      </w:r>
    </w:p>
    <w:p>
      <w:pPr>
        <w:spacing w:after="0" w:line="88" w:lineRule="exact"/>
        <w:rPr>
          <w:sz w:val="20"/>
          <w:szCs w:val="20"/>
          <w:color w:val="auto"/>
        </w:rPr>
      </w:pPr>
    </w:p>
    <w:p>
      <w:pPr>
        <w:ind w:left="400" w:right="419" w:firstLine="329"/>
        <w:spacing w:after="0" w:line="264" w:lineRule="auto"/>
        <w:rPr>
          <w:sz w:val="20"/>
          <w:szCs w:val="20"/>
          <w:color w:val="auto"/>
        </w:rPr>
      </w:pPr>
      <w:r>
        <w:rPr>
          <w:rFonts w:ascii="Times New Roman" w:cs="Times New Roman" w:eastAsia="Times New Roman" w:hAnsi="Times New Roman"/>
          <w:sz w:val="13"/>
          <w:szCs w:val="13"/>
          <w:color w:val="auto"/>
        </w:rPr>
        <w:t>We have acted as counsel for Cibus, Inc., a Delaware corporation (the “</w:t>
      </w:r>
      <w:r>
        <w:rPr>
          <w:rFonts w:ascii="Times New Roman" w:cs="Times New Roman" w:eastAsia="Times New Roman" w:hAnsi="Times New Roman"/>
          <w:sz w:val="13"/>
          <w:szCs w:val="13"/>
          <w:b w:val="1"/>
          <w:bCs w:val="1"/>
          <w:i w:val="1"/>
          <w:iCs w:val="1"/>
          <w:color w:val="auto"/>
        </w:rPr>
        <w:t>Company</w:t>
      </w:r>
      <w:r>
        <w:rPr>
          <w:rFonts w:ascii="Times New Roman" w:cs="Times New Roman" w:eastAsia="Times New Roman" w:hAnsi="Times New Roman"/>
          <w:sz w:val="13"/>
          <w:szCs w:val="13"/>
          <w:color w:val="auto"/>
        </w:rPr>
        <w:t>”), in connection with the authorization of the possible issuance and sale from time to time, on a delayed basis, by the Company of up to $200,000,000 initial aggregate offering price of: (i) shares of Class A common stock, par value $0.0001 per share, of the Company (“</w:t>
      </w:r>
      <w:r>
        <w:rPr>
          <w:rFonts w:ascii="Times New Roman" w:cs="Times New Roman" w:eastAsia="Times New Roman" w:hAnsi="Times New Roman"/>
          <w:sz w:val="13"/>
          <w:szCs w:val="13"/>
          <w:b w:val="1"/>
          <w:bCs w:val="1"/>
          <w:i w:val="1"/>
          <w:iCs w:val="1"/>
          <w:color w:val="auto"/>
        </w:rPr>
        <w:t>Class A Common Stock</w:t>
      </w:r>
      <w:r>
        <w:rPr>
          <w:rFonts w:ascii="Times New Roman" w:cs="Times New Roman" w:eastAsia="Times New Roman" w:hAnsi="Times New Roman"/>
          <w:sz w:val="13"/>
          <w:szCs w:val="13"/>
          <w:color w:val="auto"/>
        </w:rPr>
        <w:t>”); (ii) shares of preferred stock, par value $0.0001 per share, of the Company (“</w:t>
      </w:r>
      <w:r>
        <w:rPr>
          <w:rFonts w:ascii="Times New Roman" w:cs="Times New Roman" w:eastAsia="Times New Roman" w:hAnsi="Times New Roman"/>
          <w:sz w:val="13"/>
          <w:szCs w:val="13"/>
          <w:b w:val="1"/>
          <w:bCs w:val="1"/>
          <w:i w:val="1"/>
          <w:iCs w:val="1"/>
          <w:color w:val="auto"/>
        </w:rPr>
        <w:t>Preferred Stock</w:t>
      </w:r>
      <w:r>
        <w:rPr>
          <w:rFonts w:ascii="Times New Roman" w:cs="Times New Roman" w:eastAsia="Times New Roman" w:hAnsi="Times New Roman"/>
          <w:sz w:val="13"/>
          <w:szCs w:val="13"/>
          <w:color w:val="auto"/>
        </w:rPr>
        <w:t>”), in one or more series, certain of which may be convertible into, or exchangeable for, shares of Class A Common Stock or other securities of the Company; (iii) depositary shares representing fractional interests in Preferred Stock of one or more series (“</w:t>
      </w:r>
      <w:r>
        <w:rPr>
          <w:rFonts w:ascii="Times New Roman" w:cs="Times New Roman" w:eastAsia="Times New Roman" w:hAnsi="Times New Roman"/>
          <w:sz w:val="13"/>
          <w:szCs w:val="13"/>
          <w:b w:val="1"/>
          <w:bCs w:val="1"/>
          <w:i w:val="1"/>
          <w:iCs w:val="1"/>
          <w:color w:val="auto"/>
        </w:rPr>
        <w:t>Depositary Shares</w:t>
      </w:r>
      <w:r>
        <w:rPr>
          <w:rFonts w:ascii="Times New Roman" w:cs="Times New Roman" w:eastAsia="Times New Roman" w:hAnsi="Times New Roman"/>
          <w:sz w:val="13"/>
          <w:szCs w:val="13"/>
          <w:color w:val="auto"/>
        </w:rPr>
        <w:t>”);</w:t>
      </w:r>
    </w:p>
    <w:p>
      <w:pPr>
        <w:ind w:left="400" w:right="419" w:hanging="8"/>
        <w:spacing w:after="0" w:line="262" w:lineRule="auto"/>
        <w:tabs>
          <w:tab w:leader="none" w:pos="628" w:val="left"/>
        </w:tabs>
        <w:numPr>
          <w:ilvl w:val="0"/>
          <w:numId w:val="9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warrants to purchase shares of Class A Common Stock, shares of Preferred Stock or any combination thereof (“</w:t>
      </w:r>
      <w:r>
        <w:rPr>
          <w:rFonts w:ascii="Times New Roman" w:cs="Times New Roman" w:eastAsia="Times New Roman" w:hAnsi="Times New Roman"/>
          <w:sz w:val="13"/>
          <w:szCs w:val="13"/>
          <w:b w:val="1"/>
          <w:bCs w:val="1"/>
          <w:i w:val="1"/>
          <w:iCs w:val="1"/>
          <w:color w:val="auto"/>
        </w:rPr>
        <w:t>Warrants</w:t>
      </w:r>
      <w:r>
        <w:rPr>
          <w:rFonts w:ascii="Times New Roman" w:cs="Times New Roman" w:eastAsia="Times New Roman" w:hAnsi="Times New Roman"/>
          <w:sz w:val="13"/>
          <w:szCs w:val="13"/>
          <w:color w:val="auto"/>
        </w:rPr>
        <w:t>”); (v) subscription rights to purchase shares of Class A Common Stock, shares of Preferred Stock or any combination thereof (“</w:t>
      </w:r>
      <w:r>
        <w:rPr>
          <w:rFonts w:ascii="Times New Roman" w:cs="Times New Roman" w:eastAsia="Times New Roman" w:hAnsi="Times New Roman"/>
          <w:sz w:val="13"/>
          <w:szCs w:val="13"/>
          <w:b w:val="1"/>
          <w:bCs w:val="1"/>
          <w:i w:val="1"/>
          <w:iCs w:val="1"/>
          <w:color w:val="auto"/>
        </w:rPr>
        <w:t>Subscription Rights</w:t>
      </w:r>
      <w:r>
        <w:rPr>
          <w:rFonts w:ascii="Times New Roman" w:cs="Times New Roman" w:eastAsia="Times New Roman" w:hAnsi="Times New Roman"/>
          <w:sz w:val="13"/>
          <w:szCs w:val="13"/>
          <w:color w:val="auto"/>
        </w:rPr>
        <w:t>”); and (vi) units consisting of one or more of the securities described in clauses (i) through (v) above ( “</w:t>
      </w:r>
      <w:r>
        <w:rPr>
          <w:rFonts w:ascii="Times New Roman" w:cs="Times New Roman" w:eastAsia="Times New Roman" w:hAnsi="Times New Roman"/>
          <w:sz w:val="13"/>
          <w:szCs w:val="13"/>
          <w:b w:val="1"/>
          <w:bCs w:val="1"/>
          <w:i w:val="1"/>
          <w:iCs w:val="1"/>
          <w:color w:val="auto"/>
        </w:rPr>
        <w:t>Units</w:t>
      </w:r>
      <w:r>
        <w:rPr>
          <w:rFonts w:ascii="Times New Roman" w:cs="Times New Roman" w:eastAsia="Times New Roman" w:hAnsi="Times New Roman"/>
          <w:sz w:val="13"/>
          <w:szCs w:val="13"/>
          <w:color w:val="auto"/>
        </w:rPr>
        <w:t>”), in each case, as contemplated by the Company’s Registration Statement on Form S-3 to which this opinion is filed as an exhibit (as the same may be amended from time to time, the “</w:t>
      </w:r>
      <w:r>
        <w:rPr>
          <w:rFonts w:ascii="Times New Roman" w:cs="Times New Roman" w:eastAsia="Times New Roman" w:hAnsi="Times New Roman"/>
          <w:sz w:val="13"/>
          <w:szCs w:val="13"/>
          <w:b w:val="1"/>
          <w:bCs w:val="1"/>
          <w:i w:val="1"/>
          <w:iCs w:val="1"/>
          <w:color w:val="auto"/>
        </w:rPr>
        <w:t>Registration Statement</w:t>
      </w:r>
      <w:r>
        <w:rPr>
          <w:rFonts w:ascii="Times New Roman" w:cs="Times New Roman" w:eastAsia="Times New Roman" w:hAnsi="Times New Roman"/>
          <w:sz w:val="13"/>
          <w:szCs w:val="13"/>
          <w:color w:val="auto"/>
        </w:rPr>
        <w:t>”). The Class A Common Stock, Preferred Stock, Depositary Shares, Warrants, Subscription Rights and Units are collectively referred to herein as the “</w:t>
      </w:r>
      <w:r>
        <w:rPr>
          <w:rFonts w:ascii="Times New Roman" w:cs="Times New Roman" w:eastAsia="Times New Roman" w:hAnsi="Times New Roman"/>
          <w:sz w:val="13"/>
          <w:szCs w:val="13"/>
          <w:b w:val="1"/>
          <w:bCs w:val="1"/>
          <w:i w:val="1"/>
          <w:iCs w:val="1"/>
          <w:color w:val="auto"/>
        </w:rPr>
        <w:t>Securities</w:t>
      </w:r>
      <w:r>
        <w:rPr>
          <w:rFonts w:ascii="Times New Roman" w:cs="Times New Roman" w:eastAsia="Times New Roman" w:hAnsi="Times New Roman"/>
          <w:sz w:val="13"/>
          <w:szCs w:val="13"/>
          <w:color w:val="auto"/>
        </w:rPr>
        <w:t>.” The Securities may be offered and sold from time to time pursuant to Rule 415 under the Securities Act of 1933 (the “</w:t>
      </w:r>
      <w:r>
        <w:rPr>
          <w:rFonts w:ascii="Times New Roman" w:cs="Times New Roman" w:eastAsia="Times New Roman" w:hAnsi="Times New Roman"/>
          <w:sz w:val="13"/>
          <w:szCs w:val="13"/>
          <w:b w:val="1"/>
          <w:bCs w:val="1"/>
          <w:i w:val="1"/>
          <w:iCs w:val="1"/>
          <w:color w:val="auto"/>
        </w:rPr>
        <w:t>Securities Act</w:t>
      </w:r>
      <w:r>
        <w:rPr>
          <w:rFonts w:ascii="Times New Roman" w:cs="Times New Roman" w:eastAsia="Times New Roman" w:hAnsi="Times New Roman"/>
          <w:sz w:val="13"/>
          <w:szCs w:val="13"/>
          <w:color w:val="auto"/>
        </w:rPr>
        <w:t>”).</w:t>
      </w:r>
    </w:p>
    <w:p>
      <w:pPr>
        <w:spacing w:after="0" w:line="137" w:lineRule="exact"/>
        <w:rPr>
          <w:sz w:val="20"/>
          <w:szCs w:val="20"/>
          <w:color w:val="auto"/>
        </w:rPr>
      </w:pPr>
    </w:p>
    <w:p>
      <w:pPr>
        <w:jc w:val="both"/>
        <w:ind w:left="400" w:right="519" w:firstLine="329"/>
        <w:spacing w:after="0" w:line="278" w:lineRule="auto"/>
        <w:rPr>
          <w:sz w:val="20"/>
          <w:szCs w:val="20"/>
          <w:color w:val="auto"/>
        </w:rPr>
      </w:pPr>
      <w:r>
        <w:rPr>
          <w:rFonts w:ascii="Times New Roman" w:cs="Times New Roman" w:eastAsia="Times New Roman" w:hAnsi="Times New Roman"/>
          <w:sz w:val="13"/>
          <w:szCs w:val="13"/>
          <w:color w:val="auto"/>
        </w:rPr>
        <w:t>In connection with the opinions expressed herein, we have examined such documents, records and matters of law as we have deemed relevant or necessary for purposes of such opinions. Based on the foregoing, and subject to the further limitations, qualifications and assumptions set forth herein, we are of the opinion that:</w:t>
      </w:r>
    </w:p>
    <w:p>
      <w:pPr>
        <w:spacing w:after="0" w:line="55" w:lineRule="exact"/>
        <w:rPr>
          <w:sz w:val="20"/>
          <w:szCs w:val="20"/>
          <w:color w:val="auto"/>
        </w:rPr>
      </w:pPr>
    </w:p>
    <w:p>
      <w:pPr>
        <w:ind w:left="1120" w:right="459" w:hanging="405"/>
        <w:spacing w:after="0" w:line="278" w:lineRule="auto"/>
        <w:tabs>
          <w:tab w:leader="none" w:pos="1120" w:val="left"/>
        </w:tabs>
        <w:numPr>
          <w:ilvl w:val="0"/>
          <w:numId w:val="9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shares of Class A Common Stock, upon receipt by the Company of such lawful consideration therefor having a value not less than the par value thereof as the Company’s Board of Directors (or an authorized committee or subcommittee thereof) may determine, will be validly issued, fully paid and nonassessable.</w:t>
      </w:r>
    </w:p>
    <w:p>
      <w:pPr>
        <w:spacing w:after="0" w:line="77" w:lineRule="exact"/>
        <w:rPr>
          <w:sz w:val="20"/>
          <w:szCs w:val="20"/>
          <w:color w:val="auto"/>
        </w:rPr>
      </w:pPr>
    </w:p>
    <w:p>
      <w:pPr>
        <w:jc w:val="center"/>
        <w:ind w:left="392" w:right="412"/>
        <w:spacing w:after="0" w:line="266" w:lineRule="auto"/>
        <w:rPr>
          <w:sz w:val="20"/>
          <w:szCs w:val="20"/>
          <w:color w:val="auto"/>
        </w:rPr>
      </w:pPr>
      <w:r>
        <w:rPr>
          <w:rFonts w:ascii="Times New Roman" w:cs="Times New Roman" w:eastAsia="Times New Roman" w:hAnsi="Times New Roman"/>
          <w:sz w:val="12"/>
          <w:szCs w:val="12"/>
          <w:color w:val="auto"/>
        </w:rPr>
        <w:t>AMSTERDAM • ATLANTA • BEIJING • BOSTON • BRISBANE • BRUSSELS • CHICAGO • CLEVELAND • COLUMBUS • DALLAS DETROIT • DUBAI • DÜSSELDORF • FRANKFURT • HONG KONG • HOUSTON • IRVINE • LONDON • LOS ANGELES • MADRID MELBOURNE • MEXICO CITY • MIAMI • MILAN • MINNEAPOLIS • MUNICH • NEW YORK • PARIS • PERTH • PITTSBURGH</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SAN DIEGO • SAN FRANCISCO • SÃO PAULO • SHANGHAI • SILICON VALLEY • SINGAPORE • SYDNEY • TAIPEI • TOKYO • WASHINGTON</w:t>
      </w:r>
    </w:p>
    <w:p>
      <w:pPr>
        <w:sectPr>
          <w:pgSz w:w="11900" w:h="16838" w:orient="portrait"/>
          <w:cols w:equalWidth="0" w:num="1">
            <w:col w:w="9019"/>
          </w:cols>
          <w:pgMar w:left="1440" w:top="123" w:right="1440" w:bottom="1440" w:gutter="0" w:footer="0" w:header="0"/>
        </w:sectPr>
      </w:pPr>
    </w:p>
    <w:bookmarkStart w:id="145" w:name="page146"/>
    <w:bookmarkEnd w:id="145"/>
    <w:p>
      <w:pPr>
        <w:ind w:left="40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9">
                      <a:extLst>
                        <a:ext uri="{28A0092B-C50C-407E-A947-70E740481C1C}"/>
                      </a:extLst>
                    </a:blip>
                    <a:srcRect/>
                    <a:stretch>
                      <a:fillRect/>
                    </a:stretch>
                  </pic:blipFill>
                  <pic:spPr bwMode="auto">
                    <a:xfrm>
                      <a:off x="0" y="0"/>
                      <a:ext cx="7205345" cy="31750"/>
                    </a:xfrm>
                    <a:prstGeom prst="rect">
                      <a:avLst/>
                    </a:prstGeom>
                    <a:noFill/>
                  </pic:spPr>
                </pic:pic>
              </a:graphicData>
            </a:graphic>
          </wp:anchor>
        </w:drawing>
        <w:drawing>
          <wp:anchor simplePos="0" relativeHeight="251657728" behindDoc="1" locked="0" layoutInCell="0" allowOverlap="1">
            <wp:simplePos x="0" y="0"/>
            <wp:positionH relativeFrom="page">
              <wp:posOffset>5720080</wp:posOffset>
            </wp:positionH>
            <wp:positionV relativeFrom="page">
              <wp:posOffset>159385</wp:posOffset>
            </wp:positionV>
            <wp:extent cx="665480" cy="1022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30">
                      <a:clrChange>
                        <a:clrFrom>
                          <a:srgbClr val="FFFFFF"/>
                        </a:clrFrom>
                        <a:clrTo>
                          <a:srgbClr val="FFFFFF">
                            <a:alpha val="0"/>
                          </a:srgbClr>
                        </a:clrTo>
                      </a:clrChange>
                      <a:extLst>
                        <a:ext uri="{28A0092B-C50C-407E-A947-70E740481C1C}"/>
                      </a:extLst>
                    </a:blip>
                    <a:srcRect/>
                    <a:stretch>
                      <a:fillRect/>
                    </a:stretch>
                  </pic:blipFill>
                  <pic:spPr bwMode="auto">
                    <a:xfrm>
                      <a:off x="0" y="0"/>
                      <a:ext cx="665480" cy="102235"/>
                    </a:xfrm>
                    <a:prstGeom prst="rect">
                      <a:avLst/>
                    </a:prstGeom>
                    <a:noFill/>
                  </pic:spPr>
                </pic:pic>
              </a:graphicData>
            </a:graphic>
          </wp:anchor>
        </w:drawing>
        <w:t>Cibus, Inc.</w:t>
      </w:r>
    </w:p>
    <w:p>
      <w:pPr>
        <w:spacing w:after="0" w:line="2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3"/>
          <w:szCs w:val="13"/>
          <w:color w:val="auto"/>
        </w:rPr>
        <w:t>May 15, 2026</w:t>
      </w:r>
    </w:p>
    <w:p>
      <w:pPr>
        <w:spacing w:after="0" w:line="1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3"/>
          <w:szCs w:val="13"/>
          <w:color w:val="auto"/>
        </w:rPr>
        <w:t>Page 2</w:t>
      </w:r>
    </w:p>
    <w:p>
      <w:pPr>
        <w:spacing w:after="0" w:line="181" w:lineRule="exact"/>
        <w:rPr>
          <w:sz w:val="20"/>
          <w:szCs w:val="20"/>
          <w:color w:val="auto"/>
        </w:rPr>
      </w:pPr>
    </w:p>
    <w:p>
      <w:pPr>
        <w:ind w:left="1120" w:right="539" w:hanging="405"/>
        <w:spacing w:after="0" w:line="278" w:lineRule="auto"/>
        <w:tabs>
          <w:tab w:leader="none" w:pos="1120" w:val="left"/>
        </w:tabs>
        <w:numPr>
          <w:ilvl w:val="0"/>
          <w:numId w:val="9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shares of Preferred Stock, upon receipt by the Company of such lawful consideration therefor having a value not less than the par value thereof as the Company’s Board of Directors (or an authorized committee or subcommittee thereof) may determine, will be validly issued, fully paid and nonassessable.</w:t>
      </w:r>
    </w:p>
    <w:p>
      <w:pPr>
        <w:spacing w:after="0" w:line="54" w:lineRule="exact"/>
        <w:rPr>
          <w:rFonts w:ascii="Times New Roman" w:cs="Times New Roman" w:eastAsia="Times New Roman" w:hAnsi="Times New Roman"/>
          <w:sz w:val="13"/>
          <w:szCs w:val="13"/>
          <w:color w:val="auto"/>
        </w:rPr>
      </w:pPr>
    </w:p>
    <w:p>
      <w:pPr>
        <w:ind w:left="1120" w:right="499" w:hanging="405"/>
        <w:spacing w:after="0" w:line="271" w:lineRule="auto"/>
        <w:tabs>
          <w:tab w:leader="none" w:pos="1120" w:val="left"/>
        </w:tabs>
        <w:numPr>
          <w:ilvl w:val="0"/>
          <w:numId w:val="9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Depositary Shares, upon receipt by the Company of such lawful consideration therefor as the Company’s Board of Directors (or an authorized committee or subcommittee thereof) may determine, will be validly issued, and the depositary receipts representing the Depositary Shares will entitle the holders thereof to the rights specified therein and in the Deposit Agreement (as defined below) pursuant to which they are issued.</w:t>
      </w:r>
    </w:p>
    <w:p>
      <w:pPr>
        <w:spacing w:after="0" w:line="60" w:lineRule="exact"/>
        <w:rPr>
          <w:rFonts w:ascii="Times New Roman" w:cs="Times New Roman" w:eastAsia="Times New Roman" w:hAnsi="Times New Roman"/>
          <w:sz w:val="13"/>
          <w:szCs w:val="13"/>
          <w:color w:val="auto"/>
        </w:rPr>
      </w:pPr>
    </w:p>
    <w:p>
      <w:pPr>
        <w:ind w:left="1120" w:right="519" w:hanging="405"/>
        <w:spacing w:after="0" w:line="297" w:lineRule="auto"/>
        <w:tabs>
          <w:tab w:leader="none" w:pos="1120" w:val="left"/>
        </w:tabs>
        <w:numPr>
          <w:ilvl w:val="0"/>
          <w:numId w:val="9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Warrants, upon receipt by the Company of such lawful consideration therefor as the Company’s Board of Directors (or an authorized committee or subcommittee thereof) may determine, will constitute valid and binding obligations of the Company.</w:t>
      </w:r>
    </w:p>
    <w:p>
      <w:pPr>
        <w:spacing w:after="0" w:line="43" w:lineRule="exact"/>
        <w:rPr>
          <w:rFonts w:ascii="Times New Roman" w:cs="Times New Roman" w:eastAsia="Times New Roman" w:hAnsi="Times New Roman"/>
          <w:sz w:val="13"/>
          <w:szCs w:val="13"/>
          <w:color w:val="auto"/>
        </w:rPr>
      </w:pPr>
    </w:p>
    <w:p>
      <w:pPr>
        <w:ind w:left="1120" w:right="539" w:hanging="405"/>
        <w:spacing w:after="0" w:line="297" w:lineRule="auto"/>
        <w:tabs>
          <w:tab w:leader="none" w:pos="1120" w:val="left"/>
        </w:tabs>
        <w:numPr>
          <w:ilvl w:val="0"/>
          <w:numId w:val="9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Subscription Rights, upon receipt by the Company of such lawful consideration therefor as the Company’s Board of Directors (or an authorized committee or subcommittee thereof) may determine, will constitute valid and binding obligations of the Company.</w:t>
      </w:r>
    </w:p>
    <w:p>
      <w:pPr>
        <w:spacing w:after="0" w:line="43" w:lineRule="exact"/>
        <w:rPr>
          <w:rFonts w:ascii="Times New Roman" w:cs="Times New Roman" w:eastAsia="Times New Roman" w:hAnsi="Times New Roman"/>
          <w:sz w:val="13"/>
          <w:szCs w:val="13"/>
          <w:color w:val="auto"/>
        </w:rPr>
      </w:pPr>
    </w:p>
    <w:p>
      <w:pPr>
        <w:ind w:left="1120" w:right="719" w:hanging="405"/>
        <w:spacing w:after="0" w:line="297" w:lineRule="auto"/>
        <w:tabs>
          <w:tab w:leader="none" w:pos="1120" w:val="left"/>
        </w:tabs>
        <w:numPr>
          <w:ilvl w:val="0"/>
          <w:numId w:val="9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Units, upon receipt by the Company of such lawful consideration therefor as the Company’s Board of Directors (or an authorized committee or subcommittee thereof) may determine, will constitute valid and binding obligations of the Company.</w:t>
      </w:r>
    </w:p>
    <w:p>
      <w:pPr>
        <w:spacing w:after="0" w:line="114" w:lineRule="exact"/>
        <w:rPr>
          <w:sz w:val="20"/>
          <w:szCs w:val="20"/>
          <w:color w:val="auto"/>
        </w:rPr>
      </w:pPr>
    </w:p>
    <w:p>
      <w:pPr>
        <w:ind w:left="400" w:right="439" w:firstLine="329"/>
        <w:spacing w:after="0" w:line="261" w:lineRule="auto"/>
        <w:rPr>
          <w:sz w:val="20"/>
          <w:szCs w:val="20"/>
          <w:color w:val="auto"/>
        </w:rPr>
      </w:pPr>
      <w:r>
        <w:rPr>
          <w:rFonts w:ascii="Times New Roman" w:cs="Times New Roman" w:eastAsia="Times New Roman" w:hAnsi="Times New Roman"/>
          <w:sz w:val="13"/>
          <w:szCs w:val="13"/>
          <w:color w:val="auto"/>
        </w:rPr>
        <w:t>In rendering the foregoing opinions, we have assumed that: (i) the Registration Statement, and any amendments thereto, will have become effective (and will remain effective at the time of issuance of any Securities thereunder); (ii) a prospectus supplement describing each class and/or series of Securities offered pursuant to the Registration Statement, to the extent required by applicable law and relevant rules and regulations of the Securities and Exchange Commission (the “</w:t>
      </w:r>
      <w:r>
        <w:rPr>
          <w:rFonts w:ascii="Times New Roman" w:cs="Times New Roman" w:eastAsia="Times New Roman" w:hAnsi="Times New Roman"/>
          <w:sz w:val="13"/>
          <w:szCs w:val="13"/>
          <w:b w:val="1"/>
          <w:bCs w:val="1"/>
          <w:i w:val="1"/>
          <w:iCs w:val="1"/>
          <w:color w:val="auto"/>
        </w:rPr>
        <w:t>Commission</w:t>
      </w:r>
      <w:r>
        <w:rPr>
          <w:rFonts w:ascii="Times New Roman" w:cs="Times New Roman" w:eastAsia="Times New Roman" w:hAnsi="Times New Roman"/>
          <w:sz w:val="13"/>
          <w:szCs w:val="13"/>
          <w:color w:val="auto"/>
        </w:rPr>
        <w:t>”), will be timely filed with the Commission; (iii) the definitive terms of each class and/or series of Securities will have been established in accordance with the authorizing resolutions adopted by the Company’s Board of Directors (or an authorized committee or subcommittee thereof) and, as applicable, the Company’s Second Amended and Restated Certificate of Incorporation, as amended (the “</w:t>
      </w:r>
      <w:r>
        <w:rPr>
          <w:rFonts w:ascii="Times New Roman" w:cs="Times New Roman" w:eastAsia="Times New Roman" w:hAnsi="Times New Roman"/>
          <w:sz w:val="13"/>
          <w:szCs w:val="13"/>
          <w:b w:val="1"/>
          <w:bCs w:val="1"/>
          <w:i w:val="1"/>
          <w:iCs w:val="1"/>
          <w:color w:val="auto"/>
        </w:rPr>
        <w:t>Certificate of Incorporation</w:t>
      </w:r>
      <w:r>
        <w:rPr>
          <w:rFonts w:ascii="Times New Roman" w:cs="Times New Roman" w:eastAsia="Times New Roman" w:hAnsi="Times New Roman"/>
          <w:sz w:val="13"/>
          <w:szCs w:val="13"/>
          <w:color w:val="auto"/>
        </w:rPr>
        <w:t>”), and applicable law; (iv) the Company will issue and deliver the Securities in the manner contemplated by the Registration Statement and any Securities that consist of shares of capital stock will have been authorized and reserved for issuance, in each case within the limits of the then remaining authorized but unissued and unreserved amounts of such capital stock; (v) the resolutions authorizing the Company to issue, offer and sell the Securities will have been adopted by the Company’s Board of Directors (or an authorized committee or subcommittee thereof) and will be in full force and effect at all times at which the Securities are offered or sold by the Company and the Company will take no action inconsistent with such resolutions; (vi) all Securities will be issued in compliance with applicable federal and state securities laws; and (vii) any Deposit Agreement, Warrant Agreement, Subscription Rights Agreement or Unit Agreement (each as defined below) will be governed by and construed in accordance with the laws of the State of New York and will constitute a valid and binding obligation of each party thereto other than the Company.</w:t>
      </w:r>
    </w:p>
    <w:p>
      <w:pPr>
        <w:sectPr>
          <w:pgSz w:w="11900" w:h="16838" w:orient="portrait"/>
          <w:cols w:equalWidth="0" w:num="1">
            <w:col w:w="9019"/>
          </w:cols>
          <w:pgMar w:left="1440" w:top="560" w:right="1440" w:bottom="1440" w:gutter="0" w:footer="0" w:header="0"/>
        </w:sectPr>
      </w:pPr>
    </w:p>
    <w:bookmarkStart w:id="146" w:name="page147"/>
    <w:bookmarkEnd w:id="146"/>
    <w:p>
      <w:pPr>
        <w:ind w:left="40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31">
                      <a:extLst>
                        <a:ext uri="{28A0092B-C50C-407E-A947-70E740481C1C}"/>
                      </a:extLst>
                    </a:blip>
                    <a:srcRect/>
                    <a:stretch>
                      <a:fillRect/>
                    </a:stretch>
                  </pic:blipFill>
                  <pic:spPr bwMode="auto">
                    <a:xfrm>
                      <a:off x="0" y="0"/>
                      <a:ext cx="7205345" cy="31750"/>
                    </a:xfrm>
                    <a:prstGeom prst="rect">
                      <a:avLst/>
                    </a:prstGeom>
                    <a:noFill/>
                  </pic:spPr>
                </pic:pic>
              </a:graphicData>
            </a:graphic>
          </wp:anchor>
        </w:drawing>
        <w:drawing>
          <wp:anchor simplePos="0" relativeHeight="251657728" behindDoc="1" locked="0" layoutInCell="0" allowOverlap="1">
            <wp:simplePos x="0" y="0"/>
            <wp:positionH relativeFrom="page">
              <wp:posOffset>5720080</wp:posOffset>
            </wp:positionH>
            <wp:positionV relativeFrom="page">
              <wp:posOffset>159385</wp:posOffset>
            </wp:positionV>
            <wp:extent cx="665480" cy="1022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32">
                      <a:clrChange>
                        <a:clrFrom>
                          <a:srgbClr val="FFFFFF"/>
                        </a:clrFrom>
                        <a:clrTo>
                          <a:srgbClr val="FFFFFF">
                            <a:alpha val="0"/>
                          </a:srgbClr>
                        </a:clrTo>
                      </a:clrChange>
                      <a:extLst>
                        <a:ext uri="{28A0092B-C50C-407E-A947-70E740481C1C}"/>
                      </a:extLst>
                    </a:blip>
                    <a:srcRect/>
                    <a:stretch>
                      <a:fillRect/>
                    </a:stretch>
                  </pic:blipFill>
                  <pic:spPr bwMode="auto">
                    <a:xfrm>
                      <a:off x="0" y="0"/>
                      <a:ext cx="665480" cy="102235"/>
                    </a:xfrm>
                    <a:prstGeom prst="rect">
                      <a:avLst/>
                    </a:prstGeom>
                    <a:noFill/>
                  </pic:spPr>
                </pic:pic>
              </a:graphicData>
            </a:graphic>
          </wp:anchor>
        </w:drawing>
        <w:t>Cibus, Inc.</w:t>
      </w:r>
    </w:p>
    <w:p>
      <w:pPr>
        <w:spacing w:after="0" w:line="2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3"/>
          <w:szCs w:val="13"/>
          <w:color w:val="auto"/>
        </w:rPr>
        <w:t>May 15, 2026</w:t>
      </w:r>
    </w:p>
    <w:p>
      <w:pPr>
        <w:spacing w:after="0" w:line="1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3"/>
          <w:szCs w:val="13"/>
          <w:color w:val="auto"/>
        </w:rPr>
        <w:t>Page 3</w:t>
      </w:r>
    </w:p>
    <w:p>
      <w:pPr>
        <w:spacing w:after="0" w:line="181" w:lineRule="exact"/>
        <w:rPr>
          <w:sz w:val="20"/>
          <w:szCs w:val="20"/>
          <w:color w:val="auto"/>
        </w:rPr>
      </w:pPr>
    </w:p>
    <w:p>
      <w:pPr>
        <w:ind w:left="400" w:right="699" w:firstLine="329"/>
        <w:spacing w:after="0" w:line="271" w:lineRule="auto"/>
        <w:rPr>
          <w:sz w:val="20"/>
          <w:szCs w:val="20"/>
          <w:color w:val="auto"/>
        </w:rPr>
      </w:pPr>
      <w:r>
        <w:rPr>
          <w:rFonts w:ascii="Times New Roman" w:cs="Times New Roman" w:eastAsia="Times New Roman" w:hAnsi="Times New Roman"/>
          <w:sz w:val="13"/>
          <w:szCs w:val="13"/>
          <w:color w:val="auto"/>
        </w:rPr>
        <w:t>With respect to any Securities consisting of Preferred Stock, we have further assumed that the Company will issue and deliver the shares of Preferred Stock being issued and delivered after the filing with the Secretary of State of the State of Delaware of a certificate of amendment to the Certificate of Incorporation, approved by us, establishing the designations, preferences and rights of the class and/or series of Preferred Stock being issued and delivered.</w:t>
      </w:r>
    </w:p>
    <w:p>
      <w:pPr>
        <w:spacing w:after="0" w:line="131" w:lineRule="exact"/>
        <w:rPr>
          <w:sz w:val="20"/>
          <w:szCs w:val="20"/>
          <w:color w:val="auto"/>
        </w:rPr>
      </w:pPr>
    </w:p>
    <w:p>
      <w:pPr>
        <w:ind w:left="400" w:right="419" w:firstLine="329"/>
        <w:spacing w:after="0" w:line="268" w:lineRule="auto"/>
        <w:rPr>
          <w:sz w:val="20"/>
          <w:szCs w:val="20"/>
          <w:color w:val="auto"/>
        </w:rPr>
      </w:pPr>
      <w:r>
        <w:rPr>
          <w:rFonts w:ascii="Times New Roman" w:cs="Times New Roman" w:eastAsia="Times New Roman" w:hAnsi="Times New Roman"/>
          <w:sz w:val="13"/>
          <w:szCs w:val="13"/>
          <w:color w:val="auto"/>
        </w:rPr>
        <w:t>With respect to any Securities consisting of Depositary Shares, we have further assumed that the Depositary Shares will be: (i) issued and delivered after authorization, execution and delivery of the deposit agreement, approved by us, relating to the Depositary Shares (the “</w:t>
      </w:r>
      <w:r>
        <w:rPr>
          <w:rFonts w:ascii="Times New Roman" w:cs="Times New Roman" w:eastAsia="Times New Roman" w:hAnsi="Times New Roman"/>
          <w:sz w:val="13"/>
          <w:szCs w:val="13"/>
          <w:b w:val="1"/>
          <w:bCs w:val="1"/>
          <w:i w:val="1"/>
          <w:iCs w:val="1"/>
          <w:color w:val="auto"/>
        </w:rPr>
        <w:t>Deposit</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i w:val="1"/>
          <w:iCs w:val="1"/>
          <w:color w:val="auto"/>
        </w:rPr>
        <w:t>Agreement</w:t>
      </w:r>
      <w:r>
        <w:rPr>
          <w:rFonts w:ascii="Times New Roman" w:cs="Times New Roman" w:eastAsia="Times New Roman" w:hAnsi="Times New Roman"/>
          <w:sz w:val="13"/>
          <w:szCs w:val="13"/>
          <w:color w:val="auto"/>
        </w:rPr>
        <w:t>”) to be entered into between the Company and an entity selected by the Company to act as depositary (the “</w:t>
      </w:r>
      <w:r>
        <w:rPr>
          <w:rFonts w:ascii="Times New Roman" w:cs="Times New Roman" w:eastAsia="Times New Roman" w:hAnsi="Times New Roman"/>
          <w:sz w:val="13"/>
          <w:szCs w:val="13"/>
          <w:b w:val="1"/>
          <w:bCs w:val="1"/>
          <w:i w:val="1"/>
          <w:iCs w:val="1"/>
          <w:color w:val="auto"/>
        </w:rPr>
        <w:t>Depositary</w:t>
      </w:r>
      <w:r>
        <w:rPr>
          <w:rFonts w:ascii="Times New Roman" w:cs="Times New Roman" w:eastAsia="Times New Roman" w:hAnsi="Times New Roman"/>
          <w:sz w:val="13"/>
          <w:szCs w:val="13"/>
          <w:color w:val="auto"/>
        </w:rPr>
        <w:t>”) and (ii) issued after</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the Company deposits with the Depositary shares of Preferred Stock to be represented by such Depositary Shares that are authorized, validly issued, fully paid and nonassessable as contemplated by the Registration Statement and the Deposit Agreement.</w:t>
      </w:r>
    </w:p>
    <w:p>
      <w:pPr>
        <w:spacing w:after="0" w:line="133" w:lineRule="exact"/>
        <w:rPr>
          <w:sz w:val="20"/>
          <w:szCs w:val="20"/>
          <w:color w:val="auto"/>
        </w:rPr>
      </w:pPr>
    </w:p>
    <w:p>
      <w:pPr>
        <w:ind w:left="400" w:right="579" w:firstLine="329"/>
        <w:spacing w:after="0" w:line="271" w:lineRule="auto"/>
        <w:rPr>
          <w:sz w:val="20"/>
          <w:szCs w:val="20"/>
          <w:color w:val="auto"/>
        </w:rPr>
      </w:pPr>
      <w:r>
        <w:rPr>
          <w:rFonts w:ascii="Times New Roman" w:cs="Times New Roman" w:eastAsia="Times New Roman" w:hAnsi="Times New Roman"/>
          <w:sz w:val="13"/>
          <w:szCs w:val="13"/>
          <w:color w:val="auto"/>
        </w:rPr>
        <w:t>With respect to any Securities consisting of Warrants, we have further assumed that: (i) the warrant agreement, approved by us, relating to the Warrants (the “</w:t>
      </w:r>
      <w:r>
        <w:rPr>
          <w:rFonts w:ascii="Times New Roman" w:cs="Times New Roman" w:eastAsia="Times New Roman" w:hAnsi="Times New Roman"/>
          <w:sz w:val="13"/>
          <w:szCs w:val="13"/>
          <w:b w:val="1"/>
          <w:bCs w:val="1"/>
          <w:i w:val="1"/>
          <w:iCs w:val="1"/>
          <w:color w:val="auto"/>
        </w:rPr>
        <w:t>Warrant Agreement</w:t>
      </w:r>
      <w:r>
        <w:rPr>
          <w:rFonts w:ascii="Times New Roman" w:cs="Times New Roman" w:eastAsia="Times New Roman" w:hAnsi="Times New Roman"/>
          <w:sz w:val="13"/>
          <w:szCs w:val="13"/>
          <w:color w:val="auto"/>
        </w:rPr>
        <w:t>”) to be entered into between the Company and an entity selected by the Company to act as the warrant agent (the “</w:t>
      </w:r>
      <w:r>
        <w:rPr>
          <w:rFonts w:ascii="Times New Roman" w:cs="Times New Roman" w:eastAsia="Times New Roman" w:hAnsi="Times New Roman"/>
          <w:sz w:val="13"/>
          <w:szCs w:val="13"/>
          <w:b w:val="1"/>
          <w:bCs w:val="1"/>
          <w:i w:val="1"/>
          <w:iCs w:val="1"/>
          <w:color w:val="auto"/>
        </w:rPr>
        <w:t>Warrant Agent</w:t>
      </w:r>
      <w:r>
        <w:rPr>
          <w:rFonts w:ascii="Times New Roman" w:cs="Times New Roman" w:eastAsia="Times New Roman" w:hAnsi="Times New Roman"/>
          <w:sz w:val="13"/>
          <w:szCs w:val="13"/>
          <w:color w:val="auto"/>
        </w:rPr>
        <w:t>”) will have been authorized, executed and delivered by the Company and the Warrant Agent and (ii) the Warrants will be authorized, executed and delivered by the Company and the Warrant Agent in accordance with the provisions of the Warrant Agreement.</w:t>
      </w:r>
    </w:p>
    <w:p>
      <w:pPr>
        <w:sectPr>
          <w:pgSz w:w="11900" w:h="16838" w:orient="portrait"/>
          <w:cols w:equalWidth="0" w:num="1">
            <w:col w:w="9019"/>
          </w:cols>
          <w:pgMar w:left="1440" w:top="560" w:right="1440" w:bottom="1440" w:gutter="0" w:footer="0" w:header="0"/>
        </w:sectPr>
      </w:pPr>
    </w:p>
    <w:bookmarkStart w:id="147" w:name="page148"/>
    <w:bookmarkEnd w:id="147"/>
    <w:p>
      <w:pPr>
        <w:ind w:left="40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33">
                      <a:extLst>
                        <a:ext uri="{28A0092B-C50C-407E-A947-70E740481C1C}"/>
                      </a:extLst>
                    </a:blip>
                    <a:srcRect/>
                    <a:stretch>
                      <a:fillRect/>
                    </a:stretch>
                  </pic:blipFill>
                  <pic:spPr bwMode="auto">
                    <a:xfrm>
                      <a:off x="0" y="0"/>
                      <a:ext cx="7205345" cy="31750"/>
                    </a:xfrm>
                    <a:prstGeom prst="rect">
                      <a:avLst/>
                    </a:prstGeom>
                    <a:noFill/>
                  </pic:spPr>
                </pic:pic>
              </a:graphicData>
            </a:graphic>
          </wp:anchor>
        </w:drawing>
        <w:drawing>
          <wp:anchor simplePos="0" relativeHeight="251657728" behindDoc="1" locked="0" layoutInCell="0" allowOverlap="1">
            <wp:simplePos x="0" y="0"/>
            <wp:positionH relativeFrom="page">
              <wp:posOffset>5720080</wp:posOffset>
            </wp:positionH>
            <wp:positionV relativeFrom="page">
              <wp:posOffset>159385</wp:posOffset>
            </wp:positionV>
            <wp:extent cx="665480" cy="1022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34">
                      <a:clrChange>
                        <a:clrFrom>
                          <a:srgbClr val="FFFFFF"/>
                        </a:clrFrom>
                        <a:clrTo>
                          <a:srgbClr val="FFFFFF">
                            <a:alpha val="0"/>
                          </a:srgbClr>
                        </a:clrTo>
                      </a:clrChange>
                      <a:extLst>
                        <a:ext uri="{28A0092B-C50C-407E-A947-70E740481C1C}"/>
                      </a:extLst>
                    </a:blip>
                    <a:srcRect/>
                    <a:stretch>
                      <a:fillRect/>
                    </a:stretch>
                  </pic:blipFill>
                  <pic:spPr bwMode="auto">
                    <a:xfrm>
                      <a:off x="0" y="0"/>
                      <a:ext cx="665480" cy="102235"/>
                    </a:xfrm>
                    <a:prstGeom prst="rect">
                      <a:avLst/>
                    </a:prstGeom>
                    <a:noFill/>
                  </pic:spPr>
                </pic:pic>
              </a:graphicData>
            </a:graphic>
          </wp:anchor>
        </w:drawing>
        <w:t>Cibus, Inc.</w:t>
      </w:r>
    </w:p>
    <w:p>
      <w:pPr>
        <w:spacing w:after="0" w:line="2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3"/>
          <w:szCs w:val="13"/>
          <w:color w:val="auto"/>
        </w:rPr>
        <w:t>May 15, 2026</w:t>
      </w:r>
    </w:p>
    <w:p>
      <w:pPr>
        <w:spacing w:after="0" w:line="1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3"/>
          <w:szCs w:val="13"/>
          <w:color w:val="auto"/>
        </w:rPr>
        <w:t>Page 4</w:t>
      </w:r>
    </w:p>
    <w:p>
      <w:pPr>
        <w:spacing w:after="0" w:line="181" w:lineRule="exact"/>
        <w:rPr>
          <w:sz w:val="20"/>
          <w:szCs w:val="20"/>
          <w:color w:val="auto"/>
        </w:rPr>
      </w:pPr>
    </w:p>
    <w:p>
      <w:pPr>
        <w:ind w:left="400" w:right="479" w:firstLine="329"/>
        <w:spacing w:after="0" w:line="297" w:lineRule="auto"/>
        <w:rPr>
          <w:sz w:val="20"/>
          <w:szCs w:val="20"/>
          <w:color w:val="auto"/>
        </w:rPr>
      </w:pPr>
      <w:r>
        <w:rPr>
          <w:rFonts w:ascii="Times New Roman" w:cs="Times New Roman" w:eastAsia="Times New Roman" w:hAnsi="Times New Roman"/>
          <w:sz w:val="13"/>
          <w:szCs w:val="13"/>
          <w:color w:val="auto"/>
        </w:rPr>
        <w:t>With respect to any Securities consisting of Subscription Rights, we have further assumed that: (i) the subscription rights agreement, approved by us, relating to the Subscription Rights (the “</w:t>
      </w:r>
      <w:r>
        <w:rPr>
          <w:rFonts w:ascii="Times New Roman" w:cs="Times New Roman" w:eastAsia="Times New Roman" w:hAnsi="Times New Roman"/>
          <w:sz w:val="13"/>
          <w:szCs w:val="13"/>
          <w:b w:val="1"/>
          <w:bCs w:val="1"/>
          <w:i w:val="1"/>
          <w:iCs w:val="1"/>
          <w:color w:val="auto"/>
        </w:rPr>
        <w:t>Subscription Rights Agreement</w:t>
      </w:r>
      <w:r>
        <w:rPr>
          <w:rFonts w:ascii="Times New Roman" w:cs="Times New Roman" w:eastAsia="Times New Roman" w:hAnsi="Times New Roman"/>
          <w:sz w:val="13"/>
          <w:szCs w:val="13"/>
          <w:color w:val="auto"/>
        </w:rPr>
        <w:t>”) to be entered into between the Company and an</w:t>
      </w:r>
    </w:p>
    <w:p>
      <w:pPr>
        <w:spacing w:after="0" w:line="110" w:lineRule="exact"/>
        <w:rPr>
          <w:sz w:val="20"/>
          <w:szCs w:val="20"/>
          <w:color w:val="auto"/>
        </w:rPr>
      </w:pPr>
    </w:p>
    <w:p>
      <w:pPr>
        <w:ind w:left="400" w:right="479"/>
        <w:spacing w:after="0" w:line="267" w:lineRule="auto"/>
        <w:rPr>
          <w:sz w:val="20"/>
          <w:szCs w:val="20"/>
          <w:color w:val="auto"/>
        </w:rPr>
      </w:pPr>
      <w:r>
        <w:rPr>
          <w:rFonts w:ascii="Times New Roman" w:cs="Times New Roman" w:eastAsia="Times New Roman" w:hAnsi="Times New Roman"/>
          <w:sz w:val="13"/>
          <w:szCs w:val="13"/>
          <w:color w:val="auto"/>
        </w:rPr>
        <w:t>entity selected by the Company to act as the subscription rights agent (the “</w:t>
      </w:r>
      <w:r>
        <w:rPr>
          <w:rFonts w:ascii="Times New Roman" w:cs="Times New Roman" w:eastAsia="Times New Roman" w:hAnsi="Times New Roman"/>
          <w:sz w:val="13"/>
          <w:szCs w:val="13"/>
          <w:b w:val="1"/>
          <w:bCs w:val="1"/>
          <w:i w:val="1"/>
          <w:iCs w:val="1"/>
          <w:color w:val="auto"/>
        </w:rPr>
        <w:t>Subscription Rights Agent</w:t>
      </w:r>
      <w:r>
        <w:rPr>
          <w:rFonts w:ascii="Times New Roman" w:cs="Times New Roman" w:eastAsia="Times New Roman" w:hAnsi="Times New Roman"/>
          <w:sz w:val="13"/>
          <w:szCs w:val="13"/>
          <w:color w:val="auto"/>
        </w:rPr>
        <w:t>”) will have been authorized, executed and delivered by the Company and the Subscription Rights Agent and (ii) the Subscription Rights will be authorized, executed and delivered by the Company and the Subscription Rights Agent in accordance with the provisions of the Subscription Rights Agreement. With respect to any Securities consisting of Units, we have further assumed that each component of such Unit will be authorized, validly issued, fully paid and nonassessable (to the extent applicable) and will constitute a valid and binding obligation of the Company or any third party (to the extent applicable) as contemplated by the Registration Statement and the applicable unit agreement (the “</w:t>
      </w:r>
      <w:r>
        <w:rPr>
          <w:rFonts w:ascii="Times New Roman" w:cs="Times New Roman" w:eastAsia="Times New Roman" w:hAnsi="Times New Roman"/>
          <w:sz w:val="13"/>
          <w:szCs w:val="13"/>
          <w:b w:val="1"/>
          <w:bCs w:val="1"/>
          <w:i w:val="1"/>
          <w:iCs w:val="1"/>
          <w:color w:val="auto"/>
        </w:rPr>
        <w:t>Unit Agreement</w:t>
      </w:r>
      <w:r>
        <w:rPr>
          <w:rFonts w:ascii="Times New Roman" w:cs="Times New Roman" w:eastAsia="Times New Roman" w:hAnsi="Times New Roman"/>
          <w:sz w:val="13"/>
          <w:szCs w:val="13"/>
          <w:color w:val="auto"/>
        </w:rPr>
        <w:t>”), if any.</w:t>
      </w:r>
    </w:p>
    <w:p>
      <w:pPr>
        <w:spacing w:after="0" w:line="135" w:lineRule="exact"/>
        <w:rPr>
          <w:sz w:val="20"/>
          <w:szCs w:val="20"/>
          <w:color w:val="auto"/>
        </w:rPr>
      </w:pPr>
    </w:p>
    <w:p>
      <w:pPr>
        <w:ind w:left="400" w:right="539" w:firstLine="329"/>
        <w:spacing w:after="0" w:line="271" w:lineRule="auto"/>
        <w:rPr>
          <w:sz w:val="20"/>
          <w:szCs w:val="20"/>
          <w:color w:val="auto"/>
        </w:rPr>
      </w:pPr>
      <w:r>
        <w:rPr>
          <w:rFonts w:ascii="Times New Roman" w:cs="Times New Roman" w:eastAsia="Times New Roman" w:hAnsi="Times New Roman"/>
          <w:sz w:val="13"/>
          <w:szCs w:val="13"/>
          <w:color w:val="auto"/>
        </w:rPr>
        <w:t>The opinions expressed herein are limited by bankruptcy, insolvency, reorganization, fraudulent transfer and fraudulent conveyance, voidable preference, moratorium or other similar laws and related regulations and judicial doctrines from time to time in effect relating to or affecting creditors’ rights generally, and by general equitable principles and public policy considerations, whether such principles and considerations are considered in a proceeding at law or in equity.</w:t>
      </w:r>
    </w:p>
    <w:p>
      <w:pPr>
        <w:spacing w:after="0" w:line="131" w:lineRule="exact"/>
        <w:rPr>
          <w:sz w:val="20"/>
          <w:szCs w:val="20"/>
          <w:color w:val="auto"/>
        </w:rPr>
      </w:pPr>
    </w:p>
    <w:p>
      <w:pPr>
        <w:ind w:left="400" w:right="439" w:firstLine="329"/>
        <w:spacing w:after="0" w:line="275" w:lineRule="auto"/>
        <w:rPr>
          <w:sz w:val="20"/>
          <w:szCs w:val="20"/>
          <w:color w:val="auto"/>
        </w:rPr>
      </w:pPr>
      <w:r>
        <w:rPr>
          <w:rFonts w:ascii="Times New Roman" w:cs="Times New Roman" w:eastAsia="Times New Roman" w:hAnsi="Times New Roman"/>
          <w:sz w:val="13"/>
          <w:szCs w:val="13"/>
          <w:color w:val="auto"/>
        </w:rPr>
        <w:t>As to facts material to the opinions and assumptions expressed herein, we have relied upon oral or written statements and representations of officers and other representatives of the Company and others. The opinions expressed herein are limited to the laws of the State of New York and the General Corporation Law of the State of Delaware, in each case as currently in effect, and we express no opinion as to the effect of the laws of any other jurisdiction.</w:t>
      </w:r>
    </w:p>
    <w:p>
      <w:pPr>
        <w:spacing w:after="0" w:line="292" w:lineRule="exact"/>
        <w:rPr>
          <w:sz w:val="20"/>
          <w:szCs w:val="20"/>
          <w:color w:val="auto"/>
        </w:rPr>
      </w:pPr>
    </w:p>
    <w:p>
      <w:pPr>
        <w:ind w:left="400" w:right="639" w:firstLine="329"/>
        <w:spacing w:after="0" w:line="271" w:lineRule="auto"/>
        <w:rPr>
          <w:sz w:val="20"/>
          <w:szCs w:val="20"/>
          <w:color w:val="auto"/>
        </w:rPr>
      </w:pPr>
      <w:r>
        <w:rPr>
          <w:rFonts w:ascii="Times New Roman" w:cs="Times New Roman" w:eastAsia="Times New Roman" w:hAnsi="Times New Roman"/>
          <w:sz w:val="13"/>
          <w:szCs w:val="13"/>
          <w:color w:val="auto"/>
        </w:rPr>
        <w:t>We hereby consent to the filing of this opinion as Exhibit 5.1 to the Registration Statement and to the reference to Jones Day under the caption “Legal Matters” in the prospectus constituting a part of such Registration Statement. In giving such consent, we do not thereby admit that we are included in the category of persons whose consent is required under Section 7 of the Securities Act or the rules and regulations of the Commission promulgated thereunder.</w:t>
      </w:r>
    </w:p>
    <w:p>
      <w:pPr>
        <w:spacing w:after="0" w:line="151"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3"/>
          <w:szCs w:val="13"/>
          <w:color w:val="auto"/>
        </w:rPr>
        <w:t>Very truly yours,</w:t>
      </w:r>
    </w:p>
    <w:p>
      <w:pPr>
        <w:spacing w:after="0" w:line="173"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3"/>
          <w:szCs w:val="13"/>
          <w:color w:val="auto"/>
        </w:rPr>
        <w:t>/s/ Jones Day</w:t>
      </w:r>
    </w:p>
    <w:p>
      <w:pPr>
        <w:sectPr>
          <w:pgSz w:w="11900" w:h="16838" w:orient="portrait"/>
          <w:cols w:equalWidth="0" w:num="1">
            <w:col w:w="9019"/>
          </w:cols>
          <w:pgMar w:left="1440" w:top="560" w:right="1440" w:bottom="1440" w:gutter="0" w:footer="0" w:header="0"/>
        </w:sectPr>
      </w:pPr>
    </w:p>
    <w:bookmarkStart w:id="148" w:name="page149"/>
    <w:bookmarkEnd w:id="148"/>
    <w:p>
      <w:pPr>
        <w:jc w:val="right"/>
        <w:ind w:right="399"/>
        <w:spacing w:after="0"/>
        <w:rPr>
          <w:sz w:val="20"/>
          <w:szCs w:val="20"/>
          <w:color w:val="auto"/>
        </w:rPr>
      </w:pPr>
      <w:r>
        <w:rPr>
          <w:rFonts w:ascii="Times New Roman" w:cs="Times New Roman" w:eastAsia="Times New Roman" w:hAnsi="Times New Roman"/>
          <w:sz w:val="13"/>
          <w:szCs w:val="13"/>
          <w:b w:val="1"/>
          <w:bCs w:val="1"/>
          <w:color w:val="auto"/>
        </w:rPr>
        <w:t>Exhibit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2392680</wp:posOffset>
            </wp:positionH>
            <wp:positionV relativeFrom="paragraph">
              <wp:posOffset>133350</wp:posOffset>
            </wp:positionV>
            <wp:extent cx="934085" cy="16002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35">
                      <a:extLst>
                        <a:ext uri="{28A0092B-C50C-407E-A947-70E740481C1C}"/>
                      </a:extLst>
                    </a:blip>
                    <a:srcRect/>
                    <a:stretch>
                      <a:fillRect/>
                    </a:stretch>
                  </pic:blipFill>
                  <pic:spPr bwMode="auto">
                    <a:xfrm>
                      <a:off x="0" y="0"/>
                      <a:ext cx="934085" cy="160020"/>
                    </a:xfrm>
                    <a:prstGeom prst="rect">
                      <a:avLst/>
                    </a:prstGeom>
                    <a:noFill/>
                  </pic:spPr>
                </pic:pic>
              </a:graphicData>
            </a:graphic>
          </wp:anchor>
        </w:drawing>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250 VESEY STREET • NEW YORK, NEW YORK 10281.1047</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TELEPHONE: +1.212.326.3939 • FACSIMILE: +1.212.755.7306</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May 15, 2026</w:t>
      </w:r>
    </w:p>
    <w:p>
      <w:pPr>
        <w:spacing w:after="0" w:line="17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3"/>
          <w:szCs w:val="13"/>
          <w:color w:val="auto"/>
        </w:rPr>
        <w:t>Cibus, Inc.</w:t>
      </w:r>
    </w:p>
    <w:p>
      <w:pPr>
        <w:spacing w:after="0" w:line="2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3"/>
          <w:szCs w:val="13"/>
          <w:color w:val="auto"/>
        </w:rPr>
        <w:t>6455 Nancy Ridge Drive</w:t>
      </w:r>
    </w:p>
    <w:p>
      <w:pPr>
        <w:spacing w:after="0" w:line="1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3"/>
          <w:szCs w:val="13"/>
          <w:color w:val="auto"/>
        </w:rPr>
        <w:t>San Diego, CA 92121</w:t>
      </w:r>
    </w:p>
    <w:p>
      <w:pPr>
        <w:spacing w:after="0" w:line="90" w:lineRule="exact"/>
        <w:rPr>
          <w:sz w:val="20"/>
          <w:szCs w:val="20"/>
          <w:color w:val="auto"/>
        </w:rPr>
      </w:pPr>
    </w:p>
    <w:p>
      <w:pPr>
        <w:ind w:left="1120" w:right="579" w:hanging="399"/>
        <w:spacing w:after="0" w:line="292" w:lineRule="auto"/>
        <w:tabs>
          <w:tab w:leader="none" w:pos="1100" w:val="left"/>
        </w:tabs>
        <w:rPr>
          <w:sz w:val="20"/>
          <w:szCs w:val="20"/>
          <w:color w:val="auto"/>
        </w:rPr>
      </w:pPr>
      <w:r>
        <w:rPr>
          <w:rFonts w:ascii="Times New Roman" w:cs="Times New Roman" w:eastAsia="Times New Roman" w:hAnsi="Times New Roman"/>
          <w:sz w:val="13"/>
          <w:szCs w:val="13"/>
          <w:color w:val="auto"/>
        </w:rPr>
        <w:t>Re:</w:t>
      </w:r>
      <w:r>
        <w:rPr>
          <w:sz w:val="20"/>
          <w:szCs w:val="20"/>
          <w:color w:val="auto"/>
        </w:rPr>
        <w:tab/>
      </w:r>
      <w:r>
        <w:rPr>
          <w:rFonts w:ascii="Times New Roman" w:cs="Times New Roman" w:eastAsia="Times New Roman" w:hAnsi="Times New Roman"/>
          <w:sz w:val="13"/>
          <w:szCs w:val="13"/>
          <w:u w:val="single" w:color="auto"/>
          <w:color w:val="auto"/>
        </w:rPr>
        <w:t>Up to $50,000,000 of Shares of Class A Common Stock, Par Value $0.0001 Per Share, to Be Offered Pursuant to the Open Market Sales Agreement</w:t>
      </w:r>
      <w:r>
        <w:rPr>
          <w:rFonts w:ascii="Times New Roman" w:cs="Times New Roman" w:eastAsia="Times New Roman" w:hAnsi="Times New Roman"/>
          <w:sz w:val="20"/>
          <w:szCs w:val="20"/>
          <w:u w:val="single" w:color="auto"/>
          <w:color w:val="auto"/>
          <w:vertAlign w:val="superscript"/>
        </w:rPr>
        <w:t>TM</w:t>
      </w:r>
    </w:p>
    <w:p>
      <w:pPr>
        <w:spacing w:after="0" w:line="2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3"/>
          <w:szCs w:val="13"/>
          <w:color w:val="auto"/>
        </w:rPr>
        <w:t>Ladies and Gentlemen:</w:t>
      </w:r>
    </w:p>
    <w:p>
      <w:pPr>
        <w:spacing w:after="0" w:line="88" w:lineRule="exact"/>
        <w:rPr>
          <w:sz w:val="20"/>
          <w:szCs w:val="20"/>
          <w:color w:val="auto"/>
        </w:rPr>
      </w:pPr>
    </w:p>
    <w:p>
      <w:pPr>
        <w:ind w:left="400" w:right="539" w:firstLine="329"/>
        <w:spacing w:after="0" w:line="238" w:lineRule="auto"/>
        <w:rPr>
          <w:sz w:val="20"/>
          <w:szCs w:val="20"/>
          <w:color w:val="auto"/>
        </w:rPr>
      </w:pPr>
      <w:r>
        <w:rPr>
          <w:rFonts w:ascii="Times New Roman" w:cs="Times New Roman" w:eastAsia="Times New Roman" w:hAnsi="Times New Roman"/>
          <w:sz w:val="13"/>
          <w:szCs w:val="13"/>
          <w:color w:val="auto"/>
        </w:rPr>
        <w:t>We are acting as counsel for Cibus, Inc., a Delaware corporation (“</w:t>
      </w:r>
      <w:r>
        <w:rPr>
          <w:rFonts w:ascii="Times New Roman" w:cs="Times New Roman" w:eastAsia="Times New Roman" w:hAnsi="Times New Roman"/>
          <w:sz w:val="13"/>
          <w:szCs w:val="13"/>
          <w:b w:val="1"/>
          <w:bCs w:val="1"/>
          <w:i w:val="1"/>
          <w:iCs w:val="1"/>
          <w:color w:val="auto"/>
        </w:rPr>
        <w:t>Cibus</w:t>
      </w:r>
      <w:r>
        <w:rPr>
          <w:rFonts w:ascii="Times New Roman" w:cs="Times New Roman" w:eastAsia="Times New Roman" w:hAnsi="Times New Roman"/>
          <w:sz w:val="13"/>
          <w:szCs w:val="13"/>
          <w:color w:val="auto"/>
        </w:rPr>
        <w:t>”), in connection with the issuance and sale of up to $50,000,000 aggregate offering price of shares of Class A common stock, par value $0.0001 per share, of Cibus (the “</w:t>
      </w:r>
      <w:r>
        <w:rPr>
          <w:rFonts w:ascii="Times New Roman" w:cs="Times New Roman" w:eastAsia="Times New Roman" w:hAnsi="Times New Roman"/>
          <w:sz w:val="13"/>
          <w:szCs w:val="13"/>
          <w:b w:val="1"/>
          <w:bCs w:val="1"/>
          <w:i w:val="1"/>
          <w:iCs w:val="1"/>
          <w:color w:val="auto"/>
        </w:rPr>
        <w:t>Shares</w:t>
      </w:r>
      <w:r>
        <w:rPr>
          <w:rFonts w:ascii="Times New Roman" w:cs="Times New Roman" w:eastAsia="Times New Roman" w:hAnsi="Times New Roman"/>
          <w:sz w:val="13"/>
          <w:szCs w:val="13"/>
          <w:color w:val="auto"/>
        </w:rPr>
        <w:t>”), pursuant to the Open Market Sales Agreement</w:t>
      </w:r>
      <w:r>
        <w:rPr>
          <w:rFonts w:ascii="Times New Roman" w:cs="Times New Roman" w:eastAsia="Times New Roman" w:hAnsi="Times New Roman"/>
          <w:sz w:val="20"/>
          <w:szCs w:val="20"/>
          <w:color w:val="auto"/>
          <w:vertAlign w:val="superscript"/>
        </w:rPr>
        <w:t>TM</w:t>
      </w:r>
      <w:r>
        <w:rPr>
          <w:rFonts w:ascii="Times New Roman" w:cs="Times New Roman" w:eastAsia="Times New Roman" w:hAnsi="Times New Roman"/>
          <w:sz w:val="13"/>
          <w:szCs w:val="13"/>
          <w:color w:val="auto"/>
        </w:rPr>
        <w:t>, dated as of May 15, 2026 (the “</w:t>
      </w:r>
      <w:r>
        <w:rPr>
          <w:rFonts w:ascii="Times New Roman" w:cs="Times New Roman" w:eastAsia="Times New Roman" w:hAnsi="Times New Roman"/>
          <w:sz w:val="13"/>
          <w:szCs w:val="13"/>
          <w:b w:val="1"/>
          <w:bCs w:val="1"/>
          <w:i w:val="1"/>
          <w:iCs w:val="1"/>
          <w:color w:val="auto"/>
        </w:rPr>
        <w:t>Sales Agreement</w:t>
      </w:r>
      <w:r>
        <w:rPr>
          <w:rFonts w:ascii="Times New Roman" w:cs="Times New Roman" w:eastAsia="Times New Roman" w:hAnsi="Times New Roman"/>
          <w:sz w:val="13"/>
          <w:szCs w:val="13"/>
          <w:color w:val="auto"/>
        </w:rPr>
        <w:t>”), by and between Cibus and Jefferies LLC (the “</w:t>
      </w:r>
      <w:r>
        <w:rPr>
          <w:rFonts w:ascii="Times New Roman" w:cs="Times New Roman" w:eastAsia="Times New Roman" w:hAnsi="Times New Roman"/>
          <w:sz w:val="13"/>
          <w:szCs w:val="13"/>
          <w:b w:val="1"/>
          <w:bCs w:val="1"/>
          <w:i w:val="1"/>
          <w:iCs w:val="1"/>
          <w:color w:val="auto"/>
        </w:rPr>
        <w:t>Agent</w:t>
      </w:r>
      <w:r>
        <w:rPr>
          <w:rFonts w:ascii="Times New Roman" w:cs="Times New Roman" w:eastAsia="Times New Roman" w:hAnsi="Times New Roman"/>
          <w:sz w:val="13"/>
          <w:szCs w:val="13"/>
          <w:color w:val="auto"/>
        </w:rPr>
        <w:t>”). The Shares may be offered and sold from time to time pursuant to Rule 415 under the Securities Act of 1933 (the “</w:t>
      </w:r>
      <w:r>
        <w:rPr>
          <w:rFonts w:ascii="Times New Roman" w:cs="Times New Roman" w:eastAsia="Times New Roman" w:hAnsi="Times New Roman"/>
          <w:sz w:val="13"/>
          <w:szCs w:val="13"/>
          <w:b w:val="1"/>
          <w:bCs w:val="1"/>
          <w:i w:val="1"/>
          <w:iCs w:val="1"/>
          <w:color w:val="auto"/>
        </w:rPr>
        <w:t>Securities Act</w:t>
      </w:r>
      <w:r>
        <w:rPr>
          <w:rFonts w:ascii="Times New Roman" w:cs="Times New Roman" w:eastAsia="Times New Roman" w:hAnsi="Times New Roman"/>
          <w:sz w:val="13"/>
          <w:szCs w:val="13"/>
          <w:color w:val="auto"/>
        </w:rPr>
        <w:t>”) in accordance with the terms of the Sales Agreement.</w:t>
      </w:r>
    </w:p>
    <w:p>
      <w:pPr>
        <w:spacing w:after="0" w:line="150" w:lineRule="exact"/>
        <w:rPr>
          <w:sz w:val="20"/>
          <w:szCs w:val="20"/>
          <w:color w:val="auto"/>
        </w:rPr>
      </w:pPr>
    </w:p>
    <w:p>
      <w:pPr>
        <w:ind w:left="400" w:right="439" w:firstLine="329"/>
        <w:spacing w:after="0" w:line="270" w:lineRule="auto"/>
        <w:rPr>
          <w:sz w:val="20"/>
          <w:szCs w:val="20"/>
          <w:color w:val="auto"/>
        </w:rPr>
      </w:pPr>
      <w:r>
        <w:rPr>
          <w:rFonts w:ascii="Times New Roman" w:cs="Times New Roman" w:eastAsia="Times New Roman" w:hAnsi="Times New Roman"/>
          <w:sz w:val="13"/>
          <w:szCs w:val="13"/>
          <w:color w:val="auto"/>
        </w:rPr>
        <w:t>In connection with the opinion expressed herein, we have examined such documents, records and matters of law as we have deemed relevant or necessary for purposes of this opinion. Based upon the foregoing and subject to the further assumptions, qualifications and limitations set forth herein, we are of the opinion that the Shares, when issued and delivered pursuant to the terms of the Sales Agreement against payment of the consideration therefor as provided therein, will be validly issued, fully paid and nonassessable; provided that such consideration is at least equal to the stated par value of the Shares.</w:t>
      </w:r>
    </w:p>
    <w:p>
      <w:pPr>
        <w:spacing w:after="0" w:line="295" w:lineRule="exact"/>
        <w:rPr>
          <w:sz w:val="20"/>
          <w:szCs w:val="20"/>
          <w:color w:val="auto"/>
        </w:rPr>
      </w:pPr>
    </w:p>
    <w:p>
      <w:pPr>
        <w:ind w:left="400" w:right="479" w:firstLine="329"/>
        <w:spacing w:after="0" w:line="278" w:lineRule="auto"/>
        <w:rPr>
          <w:sz w:val="20"/>
          <w:szCs w:val="20"/>
          <w:color w:val="auto"/>
        </w:rPr>
      </w:pPr>
      <w:r>
        <w:rPr>
          <w:rFonts w:ascii="Times New Roman" w:cs="Times New Roman" w:eastAsia="Times New Roman" w:hAnsi="Times New Roman"/>
          <w:sz w:val="13"/>
          <w:szCs w:val="13"/>
          <w:color w:val="auto"/>
        </w:rPr>
        <w:t>In rendering the opinion above, we have assumed that the resolutions of the Board of Directors authorizing Cibus to issue and deliver and sell the Shares pursuant to the Sales Agreement will be in full force and effect at all times at which the Shares are issued and delivered or sold by Cibus, and Cibus will take no action inconsistent with such resolutions.</w:t>
      </w:r>
    </w:p>
    <w:p>
      <w:pPr>
        <w:spacing w:after="0" w:line="125" w:lineRule="exact"/>
        <w:rPr>
          <w:sz w:val="20"/>
          <w:szCs w:val="20"/>
          <w:color w:val="auto"/>
        </w:rPr>
      </w:pPr>
    </w:p>
    <w:p>
      <w:pPr>
        <w:ind w:left="400" w:right="419" w:firstLine="329"/>
        <w:spacing w:after="0" w:line="297" w:lineRule="auto"/>
        <w:rPr>
          <w:sz w:val="20"/>
          <w:szCs w:val="20"/>
          <w:color w:val="auto"/>
        </w:rPr>
      </w:pPr>
      <w:r>
        <w:rPr>
          <w:rFonts w:ascii="Times New Roman" w:cs="Times New Roman" w:eastAsia="Times New Roman" w:hAnsi="Times New Roman"/>
          <w:sz w:val="13"/>
          <w:szCs w:val="13"/>
          <w:color w:val="auto"/>
        </w:rPr>
        <w:t>The opinion expressed herein is limited to the General Corporation Law of the State of Delaware, as currently in effect, and we express no opinion as to the effect of the laws of any other jurisdiction.</w:t>
      </w:r>
    </w:p>
    <w:p>
      <w:pPr>
        <w:spacing w:after="0" w:line="65" w:lineRule="exact"/>
        <w:rPr>
          <w:sz w:val="20"/>
          <w:szCs w:val="20"/>
          <w:color w:val="auto"/>
        </w:rPr>
      </w:pPr>
    </w:p>
    <w:p>
      <w:pPr>
        <w:jc w:val="center"/>
        <w:ind w:left="400" w:right="419"/>
        <w:spacing w:after="0" w:line="266" w:lineRule="auto"/>
        <w:rPr>
          <w:sz w:val="20"/>
          <w:szCs w:val="20"/>
          <w:color w:val="auto"/>
        </w:rPr>
      </w:pPr>
      <w:r>
        <w:rPr>
          <w:rFonts w:ascii="Times New Roman" w:cs="Times New Roman" w:eastAsia="Times New Roman" w:hAnsi="Times New Roman"/>
          <w:sz w:val="12"/>
          <w:szCs w:val="12"/>
          <w:color w:val="auto"/>
        </w:rPr>
        <w:t>AMSTERDAM • ATLANTA • BEIJING • BOSTON • BRISBANE • BRUSSELS • CHICAGO • CLEVELAND • COLUMBUS • DALLAS DETROIT • DUBAI • DÜSSELDORF • FRANKFURT • HONG KONG • HOUSTON • IRVINE • LONDON • LOS ANGELES • MADRID MELBOURNE • MEXICO CITY • MIAMI • MILAN • MINNEAPOLIS • MUNICH • NEW YORK • PARIS • PERTH • PITTSBURGH</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SAN DIEGO • SAN FRANCISCO • SÃO PAULO • SHANGHAI • SILICON VALLEY • SINGAPORE • SYDNEY • TAIPEI • TOKYO • WASHINGTON</w:t>
      </w:r>
    </w:p>
    <w:p>
      <w:pPr>
        <w:sectPr>
          <w:pgSz w:w="11900" w:h="16838" w:orient="portrait"/>
          <w:cols w:equalWidth="0" w:num="1">
            <w:col w:w="9019"/>
          </w:cols>
          <w:pgMar w:left="1440" w:top="123" w:right="1440" w:bottom="1440" w:gutter="0" w:footer="0" w:header="0"/>
        </w:sectPr>
      </w:pPr>
    </w:p>
    <w:bookmarkStart w:id="149" w:name="page150"/>
    <w:bookmarkEnd w:id="149"/>
    <w:p>
      <w:pPr>
        <w:ind w:left="40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36">
                      <a:extLst>
                        <a:ext uri="{28A0092B-C50C-407E-A947-70E740481C1C}"/>
                      </a:extLst>
                    </a:blip>
                    <a:srcRect/>
                    <a:stretch>
                      <a:fillRect/>
                    </a:stretch>
                  </pic:blipFill>
                  <pic:spPr bwMode="auto">
                    <a:xfrm>
                      <a:off x="0" y="0"/>
                      <a:ext cx="7205345" cy="31750"/>
                    </a:xfrm>
                    <a:prstGeom prst="rect">
                      <a:avLst/>
                    </a:prstGeom>
                    <a:noFill/>
                  </pic:spPr>
                </pic:pic>
              </a:graphicData>
            </a:graphic>
          </wp:anchor>
        </w:drawing>
        <w:drawing>
          <wp:anchor simplePos="0" relativeHeight="251657728" behindDoc="1" locked="0" layoutInCell="0" allowOverlap="1">
            <wp:simplePos x="0" y="0"/>
            <wp:positionH relativeFrom="page">
              <wp:posOffset>5720080</wp:posOffset>
            </wp:positionH>
            <wp:positionV relativeFrom="page">
              <wp:posOffset>159385</wp:posOffset>
            </wp:positionV>
            <wp:extent cx="665480" cy="1022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7">
                      <a:clrChange>
                        <a:clrFrom>
                          <a:srgbClr val="FFFFFF"/>
                        </a:clrFrom>
                        <a:clrTo>
                          <a:srgbClr val="FFFFFF">
                            <a:alpha val="0"/>
                          </a:srgbClr>
                        </a:clrTo>
                      </a:clrChange>
                      <a:extLst>
                        <a:ext uri="{28A0092B-C50C-407E-A947-70E740481C1C}"/>
                      </a:extLst>
                    </a:blip>
                    <a:srcRect/>
                    <a:stretch>
                      <a:fillRect/>
                    </a:stretch>
                  </pic:blipFill>
                  <pic:spPr bwMode="auto">
                    <a:xfrm>
                      <a:off x="0" y="0"/>
                      <a:ext cx="665480" cy="102235"/>
                    </a:xfrm>
                    <a:prstGeom prst="rect">
                      <a:avLst/>
                    </a:prstGeom>
                    <a:noFill/>
                  </pic:spPr>
                </pic:pic>
              </a:graphicData>
            </a:graphic>
          </wp:anchor>
        </w:drawing>
        <w:t>Cibus, Inc.</w:t>
      </w:r>
    </w:p>
    <w:p>
      <w:pPr>
        <w:spacing w:after="0" w:line="2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3"/>
          <w:szCs w:val="13"/>
          <w:color w:val="auto"/>
        </w:rPr>
        <w:t>May 15, 2026</w:t>
      </w:r>
    </w:p>
    <w:p>
      <w:pPr>
        <w:spacing w:after="0" w:line="1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3"/>
          <w:szCs w:val="13"/>
          <w:color w:val="auto"/>
        </w:rPr>
        <w:t>Page 2</w:t>
      </w:r>
    </w:p>
    <w:p>
      <w:pPr>
        <w:spacing w:after="0" w:line="106" w:lineRule="exact"/>
        <w:rPr>
          <w:sz w:val="20"/>
          <w:szCs w:val="20"/>
          <w:color w:val="auto"/>
        </w:rPr>
      </w:pPr>
    </w:p>
    <w:p>
      <w:pPr>
        <w:ind w:left="400" w:right="419" w:firstLine="329"/>
        <w:spacing w:after="0" w:line="270" w:lineRule="auto"/>
        <w:rPr>
          <w:sz w:val="20"/>
          <w:szCs w:val="20"/>
          <w:color w:val="auto"/>
        </w:rPr>
      </w:pPr>
      <w:r>
        <w:rPr>
          <w:rFonts w:ascii="Times New Roman" w:cs="Times New Roman" w:eastAsia="Times New Roman" w:hAnsi="Times New Roman"/>
          <w:sz w:val="13"/>
          <w:szCs w:val="13"/>
          <w:color w:val="auto"/>
        </w:rPr>
        <w:t>We hereby consent to the filing of this opinion as Exhibit 5.2 to the Registration Statement on Form S-3 (the “</w:t>
      </w:r>
      <w:r>
        <w:rPr>
          <w:rFonts w:ascii="Times New Roman" w:cs="Times New Roman" w:eastAsia="Times New Roman" w:hAnsi="Times New Roman"/>
          <w:sz w:val="13"/>
          <w:szCs w:val="13"/>
          <w:b w:val="1"/>
          <w:bCs w:val="1"/>
          <w:i w:val="1"/>
          <w:iCs w:val="1"/>
          <w:color w:val="auto"/>
        </w:rPr>
        <w:t>Registration Statement</w:t>
      </w:r>
      <w:r>
        <w:rPr>
          <w:rFonts w:ascii="Times New Roman" w:cs="Times New Roman" w:eastAsia="Times New Roman" w:hAnsi="Times New Roman"/>
          <w:sz w:val="13"/>
          <w:szCs w:val="13"/>
          <w:color w:val="auto"/>
        </w:rPr>
        <w:t>”) filed on the date hereof by Cibus with the Securities and Exchange Commission (the “</w:t>
      </w:r>
      <w:r>
        <w:rPr>
          <w:rFonts w:ascii="Times New Roman" w:cs="Times New Roman" w:eastAsia="Times New Roman" w:hAnsi="Times New Roman"/>
          <w:sz w:val="13"/>
          <w:szCs w:val="13"/>
          <w:b w:val="1"/>
          <w:bCs w:val="1"/>
          <w:i w:val="1"/>
          <w:iCs w:val="1"/>
          <w:color w:val="auto"/>
        </w:rPr>
        <w:t>Commission</w:t>
      </w:r>
      <w:r>
        <w:rPr>
          <w:rFonts w:ascii="Times New Roman" w:cs="Times New Roman" w:eastAsia="Times New Roman" w:hAnsi="Times New Roman"/>
          <w:sz w:val="13"/>
          <w:szCs w:val="13"/>
          <w:color w:val="auto"/>
        </w:rPr>
        <w:t>”) to effect registration of the offer and sale of the Shares under the Securities Act and to the reference to us under the caption “Legal Matters” in the prospectus constituting a part of such Registration Statement. In giving such consent, we do not hereby admit that we are included in the category of persons whose consent is required under Section 7 of the Securities Act or the rules and regulations of the Commission promulgated thereunder.</w:t>
      </w:r>
    </w:p>
    <w:p>
      <w:pPr>
        <w:spacing w:after="0" w:line="151"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3"/>
          <w:szCs w:val="13"/>
          <w:color w:val="auto"/>
        </w:rPr>
        <w:t>Very truly yours,</w:t>
      </w:r>
    </w:p>
    <w:p>
      <w:pPr>
        <w:spacing w:after="0" w:line="173"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3"/>
          <w:szCs w:val="13"/>
          <w:color w:val="auto"/>
        </w:rPr>
        <w:t>/s/ Jones Day</w:t>
      </w:r>
    </w:p>
    <w:p>
      <w:pPr>
        <w:sectPr>
          <w:pgSz w:w="11900" w:h="16838" w:orient="portrait"/>
          <w:cols w:equalWidth="0" w:num="1">
            <w:col w:w="9019"/>
          </w:cols>
          <w:pgMar w:left="1440" w:top="560" w:right="1440" w:bottom="1440" w:gutter="0" w:footer="0" w:header="0"/>
        </w:sectPr>
      </w:pPr>
    </w:p>
    <w:bookmarkStart w:id="150" w:name="page151"/>
    <w:bookmarkEnd w:id="150"/>
    <w:p>
      <w:pPr>
        <w:jc w:val="right"/>
        <w:ind w:right="399"/>
        <w:spacing w:after="0"/>
        <w:rPr>
          <w:sz w:val="20"/>
          <w:szCs w:val="20"/>
          <w:color w:val="auto"/>
        </w:rPr>
      </w:pPr>
      <w:r>
        <w:rPr>
          <w:rFonts w:ascii="Times New Roman" w:cs="Times New Roman" w:eastAsia="Times New Roman" w:hAnsi="Times New Roman"/>
          <w:sz w:val="13"/>
          <w:szCs w:val="13"/>
          <w:b w:val="1"/>
          <w:bCs w:val="1"/>
          <w:color w:val="auto"/>
        </w:rPr>
        <w:t>Exhibit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2392680</wp:posOffset>
            </wp:positionH>
            <wp:positionV relativeFrom="paragraph">
              <wp:posOffset>133350</wp:posOffset>
            </wp:positionV>
            <wp:extent cx="934085" cy="16002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8">
                      <a:extLst>
                        <a:ext uri="{28A0092B-C50C-407E-A947-70E740481C1C}"/>
                      </a:extLst>
                    </a:blip>
                    <a:srcRect/>
                    <a:stretch>
                      <a:fillRect/>
                    </a:stretch>
                  </pic:blipFill>
                  <pic:spPr bwMode="auto">
                    <a:xfrm>
                      <a:off x="0" y="0"/>
                      <a:ext cx="934085" cy="160020"/>
                    </a:xfrm>
                    <a:prstGeom prst="rect">
                      <a:avLst/>
                    </a:prstGeom>
                    <a:noFill/>
                  </pic:spPr>
                </pic:pic>
              </a:graphicData>
            </a:graphic>
          </wp:anchor>
        </w:drawing>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250 VESEY STREET • NEW YORK, NEW YORK 10281.1047</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TELEPHONE: +1.212.326.3939 • FACSIMILE: +1.212.755.7306</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May 15, 2026</w:t>
      </w:r>
    </w:p>
    <w:p>
      <w:pPr>
        <w:spacing w:after="0" w:line="17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3"/>
          <w:szCs w:val="13"/>
          <w:color w:val="auto"/>
        </w:rPr>
        <w:t>Cibus, Inc.</w:t>
      </w:r>
    </w:p>
    <w:p>
      <w:pPr>
        <w:spacing w:after="0" w:line="2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3"/>
          <w:szCs w:val="13"/>
          <w:color w:val="auto"/>
        </w:rPr>
        <w:t>6455 Nancy Ridge Drive</w:t>
      </w:r>
    </w:p>
    <w:p>
      <w:pPr>
        <w:spacing w:after="0" w:line="1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3"/>
          <w:szCs w:val="13"/>
          <w:color w:val="auto"/>
        </w:rPr>
        <w:t>San Diego, CA 92121</w:t>
      </w:r>
    </w:p>
    <w:p>
      <w:pPr>
        <w:spacing w:after="0" w:line="90" w:lineRule="exact"/>
        <w:rPr>
          <w:sz w:val="20"/>
          <w:szCs w:val="20"/>
          <w:color w:val="auto"/>
        </w:rPr>
      </w:pPr>
    </w:p>
    <w:p>
      <w:pPr>
        <w:ind w:left="1120" w:right="599" w:hanging="399"/>
        <w:spacing w:after="0" w:line="297" w:lineRule="auto"/>
        <w:tabs>
          <w:tab w:leader="none" w:pos="1100" w:val="left"/>
        </w:tabs>
        <w:rPr>
          <w:sz w:val="20"/>
          <w:szCs w:val="20"/>
          <w:color w:val="auto"/>
        </w:rPr>
      </w:pPr>
      <w:r>
        <w:rPr>
          <w:rFonts w:ascii="Times New Roman" w:cs="Times New Roman" w:eastAsia="Times New Roman" w:hAnsi="Times New Roman"/>
          <w:sz w:val="13"/>
          <w:szCs w:val="13"/>
          <w:color w:val="auto"/>
        </w:rPr>
        <w:t>Re:</w:t>
      </w:r>
      <w:r>
        <w:rPr>
          <w:sz w:val="20"/>
          <w:szCs w:val="20"/>
          <w:color w:val="auto"/>
        </w:rPr>
        <w:tab/>
      </w:r>
      <w:r>
        <w:rPr>
          <w:rFonts w:ascii="Times New Roman" w:cs="Times New Roman" w:eastAsia="Times New Roman" w:hAnsi="Times New Roman"/>
          <w:sz w:val="13"/>
          <w:szCs w:val="13"/>
          <w:u w:val="single" w:color="auto"/>
          <w:color w:val="auto"/>
        </w:rPr>
        <w:t>Shares of Class A Common Stock of Cibus, Inc. Issuable Upon Exercise of Outstanding Warrants Included in Registration Statement on Form S-3 Filed by Cibus, Inc.</w:t>
      </w:r>
    </w:p>
    <w:p>
      <w:pPr>
        <w:spacing w:after="0" w:line="11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3"/>
          <w:szCs w:val="13"/>
          <w:color w:val="auto"/>
        </w:rPr>
        <w:t>Ladies and Gentlemen:</w:t>
      </w:r>
    </w:p>
    <w:p>
      <w:pPr>
        <w:spacing w:after="0" w:line="88" w:lineRule="exact"/>
        <w:rPr>
          <w:sz w:val="20"/>
          <w:szCs w:val="20"/>
          <w:color w:val="auto"/>
        </w:rPr>
      </w:pPr>
    </w:p>
    <w:p>
      <w:pPr>
        <w:ind w:left="400" w:right="479" w:firstLine="329"/>
        <w:spacing w:after="0" w:line="267" w:lineRule="auto"/>
        <w:rPr>
          <w:sz w:val="20"/>
          <w:szCs w:val="20"/>
          <w:color w:val="auto"/>
        </w:rPr>
      </w:pPr>
      <w:r>
        <w:rPr>
          <w:rFonts w:ascii="Times New Roman" w:cs="Times New Roman" w:eastAsia="Times New Roman" w:hAnsi="Times New Roman"/>
          <w:sz w:val="13"/>
          <w:szCs w:val="13"/>
          <w:color w:val="auto"/>
        </w:rPr>
        <w:t>We have acted as counsel for Cibus, Inc., a Delaware corporation (the “</w:t>
      </w:r>
      <w:r>
        <w:rPr>
          <w:rFonts w:ascii="Times New Roman" w:cs="Times New Roman" w:eastAsia="Times New Roman" w:hAnsi="Times New Roman"/>
          <w:sz w:val="13"/>
          <w:szCs w:val="13"/>
          <w:b w:val="1"/>
          <w:bCs w:val="1"/>
          <w:i w:val="1"/>
          <w:iCs w:val="1"/>
          <w:color w:val="auto"/>
        </w:rPr>
        <w:t>Company</w:t>
      </w:r>
      <w:r>
        <w:rPr>
          <w:rFonts w:ascii="Times New Roman" w:cs="Times New Roman" w:eastAsia="Times New Roman" w:hAnsi="Times New Roman"/>
          <w:sz w:val="13"/>
          <w:szCs w:val="13"/>
          <w:color w:val="auto"/>
        </w:rPr>
        <w:t>”), in connection with the authorization of the possible issuance and sale from time to time, on a delayed basis, by the Company of up to 10,738,040 shares (the “</w:t>
      </w:r>
      <w:r>
        <w:rPr>
          <w:rFonts w:ascii="Times New Roman" w:cs="Times New Roman" w:eastAsia="Times New Roman" w:hAnsi="Times New Roman"/>
          <w:sz w:val="13"/>
          <w:szCs w:val="13"/>
          <w:b w:val="1"/>
          <w:bCs w:val="1"/>
          <w:i w:val="1"/>
          <w:iCs w:val="1"/>
          <w:color w:val="auto"/>
        </w:rPr>
        <w:t>Warrant Shares</w:t>
      </w:r>
      <w:r>
        <w:rPr>
          <w:rFonts w:ascii="Times New Roman" w:cs="Times New Roman" w:eastAsia="Times New Roman" w:hAnsi="Times New Roman"/>
          <w:sz w:val="13"/>
          <w:szCs w:val="13"/>
          <w:color w:val="auto"/>
        </w:rPr>
        <w:t>”) of the Company’s Class A common stock, par value $0.0001 per share (the “</w:t>
      </w:r>
      <w:r>
        <w:rPr>
          <w:rFonts w:ascii="Times New Roman" w:cs="Times New Roman" w:eastAsia="Times New Roman" w:hAnsi="Times New Roman"/>
          <w:sz w:val="13"/>
          <w:szCs w:val="13"/>
          <w:b w:val="1"/>
          <w:bCs w:val="1"/>
          <w:i w:val="1"/>
          <w:iCs w:val="1"/>
          <w:color w:val="auto"/>
        </w:rPr>
        <w:t>Class A Common Stock</w:t>
      </w:r>
      <w:r>
        <w:rPr>
          <w:rFonts w:ascii="Times New Roman" w:cs="Times New Roman" w:eastAsia="Times New Roman" w:hAnsi="Times New Roman"/>
          <w:sz w:val="13"/>
          <w:szCs w:val="13"/>
          <w:color w:val="auto"/>
        </w:rPr>
        <w:t>”), issuable upon exercise of outstanding warrants (the “</w:t>
      </w:r>
      <w:r>
        <w:rPr>
          <w:rFonts w:ascii="Times New Roman" w:cs="Times New Roman" w:eastAsia="Times New Roman" w:hAnsi="Times New Roman"/>
          <w:sz w:val="13"/>
          <w:szCs w:val="13"/>
          <w:b w:val="1"/>
          <w:bCs w:val="1"/>
          <w:i w:val="1"/>
          <w:iCs w:val="1"/>
          <w:color w:val="auto"/>
        </w:rPr>
        <w:t>Warrants</w:t>
      </w:r>
      <w:r>
        <w:rPr>
          <w:rFonts w:ascii="Times New Roman" w:cs="Times New Roman" w:eastAsia="Times New Roman" w:hAnsi="Times New Roman"/>
          <w:sz w:val="13"/>
          <w:szCs w:val="13"/>
          <w:color w:val="auto"/>
        </w:rPr>
        <w:t>”) to purchase the Warrant Shares, as contemplated by the Company’s Registration Statement on Form S-3 to which this opinion is filed as an exhibit (as the same may be amended from time to time, the “</w:t>
      </w:r>
      <w:r>
        <w:rPr>
          <w:rFonts w:ascii="Times New Roman" w:cs="Times New Roman" w:eastAsia="Times New Roman" w:hAnsi="Times New Roman"/>
          <w:sz w:val="13"/>
          <w:szCs w:val="13"/>
          <w:b w:val="1"/>
          <w:bCs w:val="1"/>
          <w:i w:val="1"/>
          <w:iCs w:val="1"/>
          <w:color w:val="auto"/>
        </w:rPr>
        <w:t>Registration Statement</w:t>
      </w:r>
      <w:r>
        <w:rPr>
          <w:rFonts w:ascii="Times New Roman" w:cs="Times New Roman" w:eastAsia="Times New Roman" w:hAnsi="Times New Roman"/>
          <w:sz w:val="13"/>
          <w:szCs w:val="13"/>
          <w:color w:val="auto"/>
        </w:rPr>
        <w:t>”). The Warrant Shares may be offered and sold from time to time pursuant to Rule 415 under the Securities Act of 1933 (the “</w:t>
      </w:r>
      <w:r>
        <w:rPr>
          <w:rFonts w:ascii="Times New Roman" w:cs="Times New Roman" w:eastAsia="Times New Roman" w:hAnsi="Times New Roman"/>
          <w:sz w:val="13"/>
          <w:szCs w:val="13"/>
          <w:b w:val="1"/>
          <w:bCs w:val="1"/>
          <w:i w:val="1"/>
          <w:iCs w:val="1"/>
          <w:color w:val="auto"/>
        </w:rPr>
        <w:t>Securities Act</w:t>
      </w:r>
      <w:r>
        <w:rPr>
          <w:rFonts w:ascii="Times New Roman" w:cs="Times New Roman" w:eastAsia="Times New Roman" w:hAnsi="Times New Roman"/>
          <w:sz w:val="13"/>
          <w:szCs w:val="13"/>
          <w:color w:val="auto"/>
        </w:rPr>
        <w:t>”).</w:t>
      </w:r>
    </w:p>
    <w:p>
      <w:pPr>
        <w:spacing w:after="0" w:line="135" w:lineRule="exact"/>
        <w:rPr>
          <w:sz w:val="20"/>
          <w:szCs w:val="20"/>
          <w:color w:val="auto"/>
        </w:rPr>
      </w:pPr>
    </w:p>
    <w:p>
      <w:pPr>
        <w:ind w:left="400" w:right="399" w:firstLine="329"/>
        <w:spacing w:after="0" w:line="271" w:lineRule="auto"/>
        <w:rPr>
          <w:sz w:val="20"/>
          <w:szCs w:val="20"/>
          <w:color w:val="auto"/>
        </w:rPr>
      </w:pPr>
      <w:r>
        <w:rPr>
          <w:rFonts w:ascii="Times New Roman" w:cs="Times New Roman" w:eastAsia="Times New Roman" w:hAnsi="Times New Roman"/>
          <w:sz w:val="13"/>
          <w:szCs w:val="13"/>
          <w:color w:val="auto"/>
        </w:rPr>
        <w:t>In connection with the opinion expressed herein, we have examined such documents, records and matters of law as we have deemed relevant or necessary for purposes of such opinion. Based on the foregoing, and subject to the further assumptions, qualifications and limitations set forth herein, we are of the opinion that the Warrant Shares, when issued upon exercise of the Warrants pursuant to the terms of the Warrants against payment of the exercise price therefor as provided in the Warrants, will be validly issued, fully paid and non-assessable.</w:t>
      </w:r>
    </w:p>
    <w:p>
      <w:pPr>
        <w:spacing w:after="0" w:line="131" w:lineRule="exact"/>
        <w:rPr>
          <w:sz w:val="20"/>
          <w:szCs w:val="20"/>
          <w:color w:val="auto"/>
        </w:rPr>
      </w:pPr>
    </w:p>
    <w:p>
      <w:pPr>
        <w:ind w:left="400" w:right="459" w:firstLine="329"/>
        <w:spacing w:after="0" w:line="271" w:lineRule="auto"/>
        <w:rPr>
          <w:sz w:val="20"/>
          <w:szCs w:val="20"/>
          <w:color w:val="auto"/>
        </w:rPr>
      </w:pPr>
      <w:r>
        <w:rPr>
          <w:rFonts w:ascii="Times New Roman" w:cs="Times New Roman" w:eastAsia="Times New Roman" w:hAnsi="Times New Roman"/>
          <w:sz w:val="13"/>
          <w:szCs w:val="13"/>
          <w:color w:val="auto"/>
        </w:rPr>
        <w:t>In rendering the foregoing opinion, we have assumed that (i) the Registration Statement, and any amendments thereto, will have become effective (and will remain effective at the time of issuance of any Warrant Shares thereunder), (ii) the resolutions of the Board of Directors authorizing the Company to issue, offer and sell the Warrant Shares will be in full force and effect at all times at which the Warrant Shares are offered or sold by the Company and (iii) the Warrant Shares will be issued in compliance with applicable federal and state securities laws.</w:t>
      </w:r>
    </w:p>
    <w:p>
      <w:pPr>
        <w:spacing w:after="0" w:line="131" w:lineRule="exact"/>
        <w:rPr>
          <w:sz w:val="20"/>
          <w:szCs w:val="20"/>
          <w:color w:val="auto"/>
        </w:rPr>
      </w:pPr>
    </w:p>
    <w:p>
      <w:pPr>
        <w:ind w:left="400" w:right="619" w:firstLine="329"/>
        <w:spacing w:after="0" w:line="278" w:lineRule="auto"/>
        <w:rPr>
          <w:sz w:val="20"/>
          <w:szCs w:val="20"/>
          <w:color w:val="auto"/>
        </w:rPr>
      </w:pPr>
      <w:r>
        <w:rPr>
          <w:rFonts w:ascii="Times New Roman" w:cs="Times New Roman" w:eastAsia="Times New Roman" w:hAnsi="Times New Roman"/>
          <w:sz w:val="13"/>
          <w:szCs w:val="13"/>
          <w:color w:val="auto"/>
        </w:rPr>
        <w:t>As to facts material to the opinion and assumptions expressed herein, we have relied upon oral or written statements and representations of officers and other representatives of the Company and others. The opinion expressed herein is limited to the General Corporation Law of the State of Delaware, as currently in effect, and we express no opinion as to the effect of the laws of any other jurisdiction.</w:t>
      </w:r>
    </w:p>
    <w:p>
      <w:pPr>
        <w:spacing w:after="0" w:line="77" w:lineRule="exact"/>
        <w:rPr>
          <w:sz w:val="20"/>
          <w:szCs w:val="20"/>
          <w:color w:val="auto"/>
        </w:rPr>
      </w:pPr>
    </w:p>
    <w:p>
      <w:pPr>
        <w:jc w:val="center"/>
        <w:ind w:left="400" w:right="419"/>
        <w:spacing w:after="0" w:line="266" w:lineRule="auto"/>
        <w:rPr>
          <w:sz w:val="20"/>
          <w:szCs w:val="20"/>
          <w:color w:val="auto"/>
        </w:rPr>
      </w:pPr>
      <w:r>
        <w:rPr>
          <w:rFonts w:ascii="Times New Roman" w:cs="Times New Roman" w:eastAsia="Times New Roman" w:hAnsi="Times New Roman"/>
          <w:sz w:val="12"/>
          <w:szCs w:val="12"/>
          <w:color w:val="auto"/>
        </w:rPr>
        <w:t>AMSTERDAM • ATLANTA • BEIJING • BOSTON • BRISBANE • BRUSSELS • CHICAGO • CLEVELAND • COLUMBUS • DALLAS DETROIT • DUBAI • DÜSSELDORF • FRANKFURT • HONG KONG • HOUSTON • IRVINE • LONDON • LOS ANGELES • MADRID MELBOURNE • MEXICO CITY • MIAMI • MILAN • MINNEAPOLIS • MUNICH • NEW YORK • PARIS • PERTH • PITTSBURGH</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SAN DIEGO • SAN FRANCISCO • SÃO PAULO • SHANGHAI • SILICON VALLEY • SINGAPORE • SYDNEY • TAIPEI • TOKYO • WASHINGTON</w:t>
      </w:r>
    </w:p>
    <w:p>
      <w:pPr>
        <w:sectPr>
          <w:pgSz w:w="11900" w:h="16838" w:orient="portrait"/>
          <w:cols w:equalWidth="0" w:num="1">
            <w:col w:w="9019"/>
          </w:cols>
          <w:pgMar w:left="1440" w:top="123" w:right="1440" w:bottom="1440" w:gutter="0" w:footer="0" w:header="0"/>
        </w:sectPr>
      </w:pPr>
    </w:p>
    <w:bookmarkStart w:id="151" w:name="page152"/>
    <w:bookmarkEnd w:id="151"/>
    <w:p>
      <w:pPr>
        <w:ind w:left="40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5345" cy="3175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9">
                      <a:extLst>
                        <a:ext uri="{28A0092B-C50C-407E-A947-70E740481C1C}"/>
                      </a:extLst>
                    </a:blip>
                    <a:srcRect/>
                    <a:stretch>
                      <a:fillRect/>
                    </a:stretch>
                  </pic:blipFill>
                  <pic:spPr bwMode="auto">
                    <a:xfrm>
                      <a:off x="0" y="0"/>
                      <a:ext cx="7205345" cy="31750"/>
                    </a:xfrm>
                    <a:prstGeom prst="rect">
                      <a:avLst/>
                    </a:prstGeom>
                    <a:noFill/>
                  </pic:spPr>
                </pic:pic>
              </a:graphicData>
            </a:graphic>
          </wp:anchor>
        </w:drawing>
        <w:drawing>
          <wp:anchor simplePos="0" relativeHeight="251657728" behindDoc="1" locked="0" layoutInCell="0" allowOverlap="1">
            <wp:simplePos x="0" y="0"/>
            <wp:positionH relativeFrom="page">
              <wp:posOffset>5720080</wp:posOffset>
            </wp:positionH>
            <wp:positionV relativeFrom="page">
              <wp:posOffset>159385</wp:posOffset>
            </wp:positionV>
            <wp:extent cx="665480" cy="1022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40">
                      <a:clrChange>
                        <a:clrFrom>
                          <a:srgbClr val="FFFFFF"/>
                        </a:clrFrom>
                        <a:clrTo>
                          <a:srgbClr val="FFFFFF">
                            <a:alpha val="0"/>
                          </a:srgbClr>
                        </a:clrTo>
                      </a:clrChange>
                      <a:extLst>
                        <a:ext uri="{28A0092B-C50C-407E-A947-70E740481C1C}"/>
                      </a:extLst>
                    </a:blip>
                    <a:srcRect/>
                    <a:stretch>
                      <a:fillRect/>
                    </a:stretch>
                  </pic:blipFill>
                  <pic:spPr bwMode="auto">
                    <a:xfrm>
                      <a:off x="0" y="0"/>
                      <a:ext cx="665480" cy="102235"/>
                    </a:xfrm>
                    <a:prstGeom prst="rect">
                      <a:avLst/>
                    </a:prstGeom>
                    <a:noFill/>
                  </pic:spPr>
                </pic:pic>
              </a:graphicData>
            </a:graphic>
          </wp:anchor>
        </w:drawing>
        <w:t>Cibus, Inc.</w:t>
      </w:r>
    </w:p>
    <w:p>
      <w:pPr>
        <w:spacing w:after="0" w:line="2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3"/>
          <w:szCs w:val="13"/>
          <w:color w:val="auto"/>
        </w:rPr>
        <w:t>May 15, 2026</w:t>
      </w:r>
    </w:p>
    <w:p>
      <w:pPr>
        <w:spacing w:after="0" w:line="1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3"/>
          <w:szCs w:val="13"/>
          <w:color w:val="auto"/>
        </w:rPr>
        <w:t>Page 2</w:t>
      </w:r>
    </w:p>
    <w:p>
      <w:pPr>
        <w:spacing w:after="0" w:line="110" w:lineRule="exact"/>
        <w:rPr>
          <w:sz w:val="20"/>
          <w:szCs w:val="20"/>
          <w:color w:val="auto"/>
        </w:rPr>
      </w:pPr>
    </w:p>
    <w:p>
      <w:pPr>
        <w:ind w:left="400" w:right="459" w:firstLine="329"/>
        <w:spacing w:after="0" w:line="271" w:lineRule="auto"/>
        <w:rPr>
          <w:sz w:val="20"/>
          <w:szCs w:val="20"/>
          <w:color w:val="auto"/>
        </w:rPr>
      </w:pPr>
      <w:r>
        <w:rPr>
          <w:rFonts w:ascii="Times New Roman" w:cs="Times New Roman" w:eastAsia="Times New Roman" w:hAnsi="Times New Roman"/>
          <w:sz w:val="13"/>
          <w:szCs w:val="13"/>
          <w:color w:val="auto"/>
        </w:rPr>
        <w:t>We hereby consent to the filing of this opinion as Exhibit 5.3 to the Registration Statement and to the reference to Jones Day under the caption “Legal Matters” in the prospectus relating to the Warrant Shares constituting a part of such Registration Statement. In giving such consent, we do not hereby admit that we are included in the category of persons whose consent is required under Section 7 of the Securities Act or the rules and regulations of the Securities and Exchange Commission promulgated thereunder.</w:t>
      </w:r>
    </w:p>
    <w:p>
      <w:pPr>
        <w:spacing w:after="0" w:line="151"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3"/>
          <w:szCs w:val="13"/>
          <w:color w:val="auto"/>
        </w:rPr>
        <w:t>Very truly yours,</w:t>
      </w:r>
    </w:p>
    <w:p>
      <w:pPr>
        <w:spacing w:after="0" w:line="173"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3"/>
          <w:szCs w:val="13"/>
          <w:color w:val="auto"/>
        </w:rPr>
        <w:t>/s/ Jones Day</w:t>
      </w:r>
    </w:p>
    <w:p>
      <w:pPr>
        <w:sectPr>
          <w:pgSz w:w="11900" w:h="16838" w:orient="portrait"/>
          <w:cols w:equalWidth="0" w:num="1">
            <w:col w:w="9019"/>
          </w:cols>
          <w:pgMar w:left="1440" w:top="479" w:right="1440" w:bottom="1440" w:gutter="0" w:footer="0" w:header="0"/>
        </w:sectPr>
      </w:pPr>
    </w:p>
    <w:bookmarkStart w:id="152" w:name="page153"/>
    <w:bookmarkEnd w:id="152"/>
    <w:p>
      <w:pPr>
        <w:jc w:val="right"/>
        <w:ind w:right="399"/>
        <w:spacing w:after="0"/>
        <w:rPr>
          <w:sz w:val="20"/>
          <w:szCs w:val="20"/>
          <w:color w:val="auto"/>
        </w:rPr>
      </w:pPr>
      <w:r>
        <w:rPr>
          <w:rFonts w:ascii="Times New Roman" w:cs="Times New Roman" w:eastAsia="Times New Roman" w:hAnsi="Times New Roman"/>
          <w:sz w:val="13"/>
          <w:szCs w:val="13"/>
          <w:b w:val="1"/>
          <w:bCs w:val="1"/>
          <w:color w:val="auto"/>
        </w:rPr>
        <w:t>Exhibit 23.1</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u w:val="single" w:color="auto"/>
          <w:color w:val="auto"/>
        </w:rPr>
        <w:t>Consent of Independent Registered Public Accounting Firm</w:t>
      </w:r>
    </w:p>
    <w:p>
      <w:pPr>
        <w:spacing w:after="0" w:line="173" w:lineRule="exact"/>
        <w:rPr>
          <w:sz w:val="20"/>
          <w:szCs w:val="20"/>
          <w:color w:val="auto"/>
        </w:rPr>
      </w:pPr>
    </w:p>
    <w:p>
      <w:pPr>
        <w:jc w:val="both"/>
        <w:ind w:left="400" w:right="499"/>
        <w:spacing w:after="0" w:line="278" w:lineRule="auto"/>
        <w:rPr>
          <w:sz w:val="20"/>
          <w:szCs w:val="20"/>
          <w:color w:val="auto"/>
        </w:rPr>
      </w:pPr>
      <w:r>
        <w:rPr>
          <w:rFonts w:ascii="Times New Roman" w:cs="Times New Roman" w:eastAsia="Times New Roman" w:hAnsi="Times New Roman"/>
          <w:sz w:val="13"/>
          <w:szCs w:val="13"/>
          <w:color w:val="auto"/>
        </w:rPr>
        <w:t>We hereby consent to the incorporation by reference in the Prospectuses constituting a part of this Registration Statement of our report dated March 17, 2026, relating to the consolidated financial statements of Cibus, Inc. (the Company) appearing in the Company’s Annual Report on Form 10-K for the year ended December 31, 2025. Our report contains an explanatory paragraph regarding the Company’s ability to continue as a going concern.</w:t>
      </w:r>
    </w:p>
    <w:p>
      <w:pPr>
        <w:spacing w:after="0" w:line="12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3"/>
          <w:szCs w:val="13"/>
          <w:color w:val="auto"/>
        </w:rPr>
        <w:t>We also consent to the reference to us under the caption “Experts” in the Prospectuses.</w:t>
      </w:r>
    </w:p>
    <w:p>
      <w:pPr>
        <w:spacing w:after="0" w:line="19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3"/>
          <w:szCs w:val="13"/>
          <w:color w:val="auto"/>
        </w:rPr>
        <w:t>/s/ BDO USA, P.C.</w:t>
      </w:r>
    </w:p>
    <w:p>
      <w:pPr>
        <w:spacing w:after="0" w:line="17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3"/>
          <w:szCs w:val="13"/>
          <w:color w:val="auto"/>
        </w:rPr>
        <w:t>May 15, 2026</w:t>
      </w:r>
    </w:p>
    <w:p>
      <w:pPr>
        <w:sectPr>
          <w:pgSz w:w="11900" w:h="16838" w:orient="portrait"/>
          <w:cols w:equalWidth="0" w:num="1">
            <w:col w:w="9019"/>
          </w:cols>
          <w:pgMar w:left="1440" w:top="123" w:right="1440" w:bottom="1440" w:gutter="0" w:footer="0" w:header="0"/>
        </w:sectPr>
      </w:pPr>
    </w:p>
    <w:bookmarkStart w:id="153" w:name="page154"/>
    <w:bookmarkEnd w:id="153"/>
    <w:p>
      <w:pPr>
        <w:ind w:left="3580"/>
        <w:spacing w:after="0"/>
        <w:rPr>
          <w:sz w:val="20"/>
          <w:szCs w:val="20"/>
          <w:color w:val="auto"/>
        </w:rPr>
      </w:pPr>
      <w:r>
        <w:rPr>
          <w:rFonts w:ascii="Arial" w:cs="Arial" w:eastAsia="Arial" w:hAnsi="Arial"/>
          <w:sz w:val="27"/>
          <w:szCs w:val="27"/>
          <w:b w:val="1"/>
          <w:bCs w:val="1"/>
          <w:color w:val="auto"/>
        </w:rPr>
        <w:t>Calculation of Filing Fee Tables</w:t>
      </w:r>
    </w:p>
    <w:p>
      <w:pPr>
        <w:spacing w:after="0" w:line="163" w:lineRule="exact"/>
        <w:rPr>
          <w:sz w:val="20"/>
          <w:szCs w:val="20"/>
          <w:color w:val="auto"/>
        </w:rPr>
      </w:pPr>
    </w:p>
    <w:p>
      <w:pPr>
        <w:ind w:left="5360"/>
        <w:spacing w:after="0"/>
        <w:rPr>
          <w:sz w:val="20"/>
          <w:szCs w:val="20"/>
          <w:color w:val="auto"/>
        </w:rPr>
      </w:pPr>
      <w:r>
        <w:rPr>
          <w:rFonts w:ascii="Arial" w:cs="Arial" w:eastAsia="Arial" w:hAnsi="Arial"/>
          <w:sz w:val="27"/>
          <w:szCs w:val="27"/>
          <w:b w:val="1"/>
          <w:bCs w:val="1"/>
          <w:color w:val="auto"/>
        </w:rPr>
        <w:t>S-3</w:t>
      </w:r>
    </w:p>
    <w:p>
      <w:pPr>
        <w:spacing w:after="0" w:line="93" w:lineRule="exact"/>
        <w:rPr>
          <w:sz w:val="20"/>
          <w:szCs w:val="20"/>
          <w:color w:val="auto"/>
        </w:rPr>
      </w:pPr>
    </w:p>
    <w:p>
      <w:pPr>
        <w:jc w:val="center"/>
        <w:ind w:right="220"/>
        <w:spacing w:after="0"/>
        <w:rPr>
          <w:sz w:val="20"/>
          <w:szCs w:val="20"/>
          <w:color w:val="auto"/>
        </w:rPr>
      </w:pPr>
      <w:r>
        <w:rPr>
          <w:rFonts w:ascii="Arial" w:cs="Arial" w:eastAsia="Arial" w:hAnsi="Arial"/>
          <w:sz w:val="27"/>
          <w:szCs w:val="27"/>
          <w:b w:val="1"/>
          <w:bCs w:val="1"/>
          <w:color w:val="auto"/>
        </w:rPr>
        <w:t>Cibus, Inc.</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4440" w:type="dxa"/>
            <w:vAlign w:val="bottom"/>
            <w:tcBorders>
              <w:bottom w:val="single" w:sz="8" w:color="auto"/>
            </w:tcBorders>
            <w:gridSpan w:val="4"/>
          </w:tcPr>
          <w:p>
            <w:pPr>
              <w:jc w:val="right"/>
              <w:ind w:right="49"/>
              <w:spacing w:after="0"/>
              <w:rPr>
                <w:sz w:val="20"/>
                <w:szCs w:val="20"/>
                <w:color w:val="auto"/>
              </w:rPr>
            </w:pPr>
            <w:r>
              <w:rPr>
                <w:rFonts w:ascii="Arial" w:cs="Arial" w:eastAsia="Arial" w:hAnsi="Arial"/>
                <w:sz w:val="16"/>
                <w:szCs w:val="16"/>
                <w:b w:val="1"/>
                <w:bCs w:val="1"/>
                <w:color w:val="auto"/>
              </w:rPr>
              <w:t>Table 1: Newly Registered and Carry Forward Securities</w:t>
            </w:r>
          </w:p>
        </w:tc>
        <w:tc>
          <w:tcPr>
            <w:tcW w:w="8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gridSpan w:val="2"/>
          </w:tcPr>
          <w:p>
            <w:pPr>
              <w:ind w:left="380"/>
              <w:spacing w:after="0" w:line="184" w:lineRule="exact"/>
              <w:rPr>
                <w:sz w:val="20"/>
                <w:szCs w:val="20"/>
                <w:color w:val="auto"/>
              </w:rPr>
            </w:pPr>
            <w:r>
              <w:rPr>
                <w:rFonts w:ascii="MS PGothic" w:cs="MS PGothic" w:eastAsia="MS PGothic" w:hAnsi="MS PGothic"/>
                <w:sz w:val="16"/>
                <w:szCs w:val="16"/>
                <w:color w:val="auto"/>
                <w:highlight w:val="black"/>
              </w:rPr>
              <w:t>☐</w:t>
            </w:r>
            <w:r>
              <w:rPr>
                <w:rFonts w:ascii="Arial" w:cs="Arial" w:eastAsia="Arial" w:hAnsi="Arial"/>
                <w:sz w:val="16"/>
                <w:szCs w:val="16"/>
                <w:b w:val="1"/>
                <w:bCs w:val="1"/>
                <w:color w:val="auto"/>
              </w:rPr>
              <w:t>Not Applicable</w:t>
            </w:r>
          </w:p>
        </w:tc>
        <w:tc>
          <w:tcPr>
            <w:tcW w:w="0" w:type="dxa"/>
            <w:vAlign w:val="bottom"/>
          </w:tcPr>
          <w:p>
            <w:pPr>
              <w:spacing w:after="0"/>
              <w:rPr>
                <w:sz w:val="1"/>
                <w:szCs w:val="1"/>
                <w:color w:val="auto"/>
              </w:rPr>
            </w:pPr>
          </w:p>
        </w:tc>
      </w:tr>
      <w:tr>
        <w:trPr>
          <w:trHeight w:val="186"/>
        </w:trPr>
        <w:tc>
          <w:tcPr>
            <w:tcW w:w="18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Arial" w:cs="Arial" w:eastAsia="Arial" w:hAnsi="Arial"/>
                <w:sz w:val="16"/>
                <w:szCs w:val="16"/>
                <w:b w:val="1"/>
                <w:bCs w:val="1"/>
                <w:color w:val="auto"/>
              </w:rPr>
              <w:t>Filing Fee</w:t>
            </w:r>
          </w:p>
        </w:tc>
        <w:tc>
          <w:tcPr>
            <w:tcW w:w="0" w:type="dxa"/>
            <w:vAlign w:val="bottom"/>
          </w:tcPr>
          <w:p>
            <w:pPr>
              <w:spacing w:after="0"/>
              <w:rPr>
                <w:sz w:val="1"/>
                <w:szCs w:val="1"/>
                <w:color w:val="auto"/>
              </w:rPr>
            </w:pPr>
          </w:p>
        </w:tc>
      </w:tr>
      <w:tr>
        <w:trPr>
          <w:trHeight w:val="181"/>
        </w:trPr>
        <w:tc>
          <w:tcPr>
            <w:tcW w:w="1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8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rPr>
              <w:t>Previously</w:t>
            </w:r>
          </w:p>
        </w:tc>
        <w:tc>
          <w:tcPr>
            <w:tcW w:w="0" w:type="dxa"/>
            <w:vAlign w:val="bottom"/>
          </w:tcPr>
          <w:p>
            <w:pPr>
              <w:spacing w:after="0"/>
              <w:rPr>
                <w:sz w:val="1"/>
                <w:szCs w:val="1"/>
                <w:color w:val="auto"/>
              </w:rPr>
            </w:pPr>
          </w:p>
        </w:tc>
      </w:tr>
      <w:tr>
        <w:trPr>
          <w:trHeight w:val="181"/>
        </w:trPr>
        <w:tc>
          <w:tcPr>
            <w:tcW w:w="1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4"/>
              </w:rPr>
              <w:t>Fee</w:t>
            </w:r>
          </w:p>
        </w:tc>
        <w:tc>
          <w:tcPr>
            <w:tcW w:w="880" w:type="dxa"/>
            <w:vAlign w:val="bottom"/>
          </w:tcPr>
          <w:p>
            <w:pPr>
              <w:spacing w:after="0"/>
              <w:rPr>
                <w:sz w:val="15"/>
                <w:szCs w:val="15"/>
                <w:color w:val="auto"/>
              </w:rPr>
            </w:pPr>
          </w:p>
        </w:tc>
        <w:tc>
          <w:tcPr>
            <w:tcW w:w="80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Proposed</w:t>
            </w:r>
          </w:p>
        </w:tc>
        <w:tc>
          <w:tcPr>
            <w:tcW w:w="116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Carry</w:t>
            </w:r>
          </w:p>
        </w:tc>
        <w:tc>
          <w:tcPr>
            <w:tcW w:w="98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w w:val="99"/>
              </w:rPr>
              <w:t>Paid in</w:t>
            </w:r>
          </w:p>
        </w:tc>
        <w:tc>
          <w:tcPr>
            <w:tcW w:w="0" w:type="dxa"/>
            <w:vAlign w:val="bottom"/>
          </w:tcPr>
          <w:p>
            <w:pPr>
              <w:spacing w:after="0"/>
              <w:rPr>
                <w:sz w:val="1"/>
                <w:szCs w:val="1"/>
                <w:color w:val="auto"/>
              </w:rPr>
            </w:pPr>
          </w:p>
        </w:tc>
      </w:tr>
      <w:tr>
        <w:trPr>
          <w:trHeight w:val="91"/>
        </w:trPr>
        <w:tc>
          <w:tcPr>
            <w:tcW w:w="1820" w:type="dxa"/>
            <w:vAlign w:val="bottom"/>
          </w:tcPr>
          <w:p>
            <w:pPr>
              <w:spacing w:after="0"/>
              <w:rPr>
                <w:sz w:val="7"/>
                <w:szCs w:val="7"/>
                <w:color w:val="auto"/>
              </w:rPr>
            </w:pPr>
          </w:p>
        </w:tc>
        <w:tc>
          <w:tcPr>
            <w:tcW w:w="800" w:type="dxa"/>
            <w:vAlign w:val="bottom"/>
          </w:tcPr>
          <w:p>
            <w:pPr>
              <w:spacing w:after="0"/>
              <w:rPr>
                <w:sz w:val="7"/>
                <w:szCs w:val="7"/>
                <w:color w:val="auto"/>
              </w:rPr>
            </w:pPr>
          </w:p>
        </w:tc>
        <w:tc>
          <w:tcPr>
            <w:tcW w:w="940" w:type="dxa"/>
            <w:vAlign w:val="bottom"/>
            <w:vMerge w:val="continue"/>
          </w:tcPr>
          <w:p>
            <w:pPr>
              <w:spacing w:after="0"/>
              <w:rPr>
                <w:sz w:val="7"/>
                <w:szCs w:val="7"/>
                <w:color w:val="auto"/>
              </w:rPr>
            </w:pPr>
          </w:p>
        </w:tc>
        <w:tc>
          <w:tcPr>
            <w:tcW w:w="88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1160" w:type="dxa"/>
            <w:vAlign w:val="bottom"/>
          </w:tcPr>
          <w:p>
            <w:pPr>
              <w:spacing w:after="0"/>
              <w:rPr>
                <w:sz w:val="7"/>
                <w:szCs w:val="7"/>
                <w:color w:val="auto"/>
              </w:rPr>
            </w:pPr>
          </w:p>
        </w:tc>
        <w:tc>
          <w:tcPr>
            <w:tcW w:w="1800" w:type="dxa"/>
            <w:vAlign w:val="bottom"/>
          </w:tcPr>
          <w:p>
            <w:pPr>
              <w:spacing w:after="0"/>
              <w:rPr>
                <w:sz w:val="7"/>
                <w:szCs w:val="7"/>
                <w:color w:val="auto"/>
              </w:rPr>
            </w:pPr>
          </w:p>
        </w:tc>
        <w:tc>
          <w:tcPr>
            <w:tcW w:w="64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Carry</w:t>
            </w:r>
          </w:p>
        </w:tc>
        <w:tc>
          <w:tcPr>
            <w:tcW w:w="76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Carry</w:t>
            </w:r>
          </w:p>
        </w:tc>
        <w:tc>
          <w:tcPr>
            <w:tcW w:w="780" w:type="dxa"/>
            <w:vAlign w:val="bottom"/>
            <w:vMerge w:val="continue"/>
          </w:tcPr>
          <w:p>
            <w:pPr>
              <w:spacing w:after="0"/>
              <w:rPr>
                <w:sz w:val="7"/>
                <w:szCs w:val="7"/>
                <w:color w:val="auto"/>
              </w:rPr>
            </w:pPr>
          </w:p>
        </w:tc>
        <w:tc>
          <w:tcPr>
            <w:tcW w:w="9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9"/>
              </w:rPr>
              <w:t>Connection</w:t>
            </w:r>
          </w:p>
        </w:tc>
        <w:tc>
          <w:tcPr>
            <w:tcW w:w="0" w:type="dxa"/>
            <w:vAlign w:val="bottom"/>
          </w:tcPr>
          <w:p>
            <w:pPr>
              <w:spacing w:after="0"/>
              <w:rPr>
                <w:sz w:val="1"/>
                <w:szCs w:val="1"/>
                <w:color w:val="auto"/>
              </w:rPr>
            </w:pPr>
          </w:p>
        </w:tc>
      </w:tr>
      <w:tr>
        <w:trPr>
          <w:trHeight w:val="162"/>
        </w:trPr>
        <w:tc>
          <w:tcPr>
            <w:tcW w:w="1820" w:type="dxa"/>
            <w:vAlign w:val="bottom"/>
          </w:tcPr>
          <w:p>
            <w:pPr>
              <w:spacing w:after="0"/>
              <w:rPr>
                <w:sz w:val="14"/>
                <w:szCs w:val="14"/>
                <w:color w:val="auto"/>
              </w:rPr>
            </w:pPr>
          </w:p>
        </w:tc>
        <w:tc>
          <w:tcPr>
            <w:tcW w:w="8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Security</w:t>
            </w:r>
          </w:p>
        </w:tc>
        <w:tc>
          <w:tcPr>
            <w:tcW w:w="9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9"/>
              </w:rPr>
              <w:t>Calculation</w:t>
            </w:r>
          </w:p>
        </w:tc>
        <w:tc>
          <w:tcPr>
            <w:tcW w:w="880" w:type="dxa"/>
            <w:vAlign w:val="bottom"/>
          </w:tcPr>
          <w:p>
            <w:pPr>
              <w:spacing w:after="0"/>
              <w:rPr>
                <w:sz w:val="14"/>
                <w:szCs w:val="14"/>
                <w:color w:val="auto"/>
              </w:rPr>
            </w:pPr>
          </w:p>
        </w:tc>
        <w:tc>
          <w:tcPr>
            <w:tcW w:w="8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Maximum</w:t>
            </w:r>
          </w:p>
        </w:tc>
        <w:tc>
          <w:tcPr>
            <w:tcW w:w="11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Maximum</w:t>
            </w:r>
          </w:p>
        </w:tc>
        <w:tc>
          <w:tcPr>
            <w:tcW w:w="1800" w:type="dxa"/>
            <w:vAlign w:val="bottom"/>
          </w:tcPr>
          <w:p>
            <w:pPr>
              <w:jc w:val="center"/>
              <w:ind w:left="719"/>
              <w:spacing w:after="0" w:line="162" w:lineRule="exact"/>
              <w:rPr>
                <w:sz w:val="20"/>
                <w:szCs w:val="20"/>
                <w:color w:val="auto"/>
              </w:rPr>
            </w:pPr>
            <w:r>
              <w:rPr>
                <w:rFonts w:ascii="Arial" w:cs="Arial" w:eastAsia="Arial" w:hAnsi="Arial"/>
                <w:sz w:val="16"/>
                <w:szCs w:val="16"/>
                <w:b w:val="1"/>
                <w:bCs w:val="1"/>
                <w:color w:val="auto"/>
                <w:w w:val="99"/>
              </w:rPr>
              <w:t>Amount of</w:t>
            </w:r>
          </w:p>
        </w:tc>
        <w:tc>
          <w:tcPr>
            <w:tcW w:w="64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78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Forward</w:t>
            </w: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1820" w:type="dxa"/>
            <w:vAlign w:val="bottom"/>
          </w:tcPr>
          <w:p>
            <w:pPr>
              <w:jc w:val="center"/>
              <w:ind w:left="866"/>
              <w:spacing w:after="0" w:line="181" w:lineRule="exact"/>
              <w:rPr>
                <w:sz w:val="20"/>
                <w:szCs w:val="20"/>
                <w:color w:val="auto"/>
              </w:rPr>
            </w:pPr>
            <w:r>
              <w:rPr>
                <w:rFonts w:ascii="Arial" w:cs="Arial" w:eastAsia="Arial" w:hAnsi="Arial"/>
                <w:sz w:val="16"/>
                <w:szCs w:val="16"/>
                <w:b w:val="1"/>
                <w:bCs w:val="1"/>
                <w:color w:val="auto"/>
              </w:rPr>
              <w:t>Security</w:t>
            </w:r>
          </w:p>
        </w:tc>
        <w:tc>
          <w:tcPr>
            <w:tcW w:w="80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rPr>
              <w:t>Class</w:t>
            </w:r>
          </w:p>
        </w:tc>
        <w:tc>
          <w:tcPr>
            <w:tcW w:w="94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w w:val="99"/>
              </w:rPr>
              <w:t>or Carry</w:t>
            </w:r>
          </w:p>
        </w:tc>
        <w:tc>
          <w:tcPr>
            <w:tcW w:w="880" w:type="dxa"/>
            <w:vAlign w:val="bottom"/>
          </w:tcPr>
          <w:p>
            <w:pPr>
              <w:jc w:val="right"/>
              <w:ind w:right="49"/>
              <w:spacing w:after="0" w:line="181" w:lineRule="exact"/>
              <w:rPr>
                <w:sz w:val="20"/>
                <w:szCs w:val="20"/>
                <w:color w:val="auto"/>
              </w:rPr>
            </w:pPr>
            <w:r>
              <w:rPr>
                <w:rFonts w:ascii="Arial" w:cs="Arial" w:eastAsia="Arial" w:hAnsi="Arial"/>
                <w:sz w:val="16"/>
                <w:szCs w:val="16"/>
                <w:b w:val="1"/>
                <w:bCs w:val="1"/>
                <w:color w:val="auto"/>
              </w:rPr>
              <w:t>Amount</w:t>
            </w:r>
          </w:p>
        </w:tc>
        <w:tc>
          <w:tcPr>
            <w:tcW w:w="80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rPr>
              <w:t>Offering</w:t>
            </w:r>
          </w:p>
        </w:tc>
        <w:tc>
          <w:tcPr>
            <w:tcW w:w="116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rPr>
              <w:t>Aggregate</w:t>
            </w:r>
          </w:p>
        </w:tc>
        <w:tc>
          <w:tcPr>
            <w:tcW w:w="1800" w:type="dxa"/>
            <w:vAlign w:val="bottom"/>
          </w:tcPr>
          <w:p>
            <w:pPr>
              <w:ind w:left="60"/>
              <w:spacing w:after="0" w:line="181" w:lineRule="exact"/>
              <w:rPr>
                <w:sz w:val="20"/>
                <w:szCs w:val="20"/>
                <w:color w:val="auto"/>
              </w:rPr>
            </w:pPr>
            <w:r>
              <w:rPr>
                <w:rFonts w:ascii="Arial" w:cs="Arial" w:eastAsia="Arial" w:hAnsi="Arial"/>
                <w:sz w:val="16"/>
                <w:szCs w:val="16"/>
                <w:b w:val="1"/>
                <w:bCs w:val="1"/>
                <w:color w:val="auto"/>
              </w:rPr>
              <w:t>Fee Rate Registration</w:t>
            </w:r>
          </w:p>
        </w:tc>
        <w:tc>
          <w:tcPr>
            <w:tcW w:w="1400" w:type="dxa"/>
            <w:vAlign w:val="bottom"/>
            <w:gridSpan w:val="2"/>
          </w:tcPr>
          <w:p>
            <w:pPr>
              <w:ind w:left="20"/>
              <w:spacing w:after="0" w:line="181" w:lineRule="exact"/>
              <w:rPr>
                <w:sz w:val="20"/>
                <w:szCs w:val="20"/>
                <w:color w:val="auto"/>
              </w:rPr>
            </w:pPr>
            <w:r>
              <w:rPr>
                <w:rFonts w:ascii="Arial" w:cs="Arial" w:eastAsia="Arial" w:hAnsi="Arial"/>
                <w:sz w:val="16"/>
                <w:szCs w:val="16"/>
                <w:b w:val="1"/>
                <w:bCs w:val="1"/>
                <w:color w:val="auto"/>
              </w:rPr>
              <w:t>Forward Forward</w:t>
            </w:r>
          </w:p>
        </w:tc>
        <w:tc>
          <w:tcPr>
            <w:tcW w:w="78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rPr>
              <w:t>Initial</w:t>
            </w:r>
          </w:p>
        </w:tc>
        <w:tc>
          <w:tcPr>
            <w:tcW w:w="98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w w:val="99"/>
              </w:rPr>
              <w:t>with</w:t>
            </w:r>
          </w:p>
        </w:tc>
        <w:tc>
          <w:tcPr>
            <w:tcW w:w="0" w:type="dxa"/>
            <w:vAlign w:val="bottom"/>
          </w:tcPr>
          <w:p>
            <w:pPr>
              <w:spacing w:after="0"/>
              <w:rPr>
                <w:sz w:val="1"/>
                <w:szCs w:val="1"/>
                <w:color w:val="auto"/>
              </w:rPr>
            </w:pPr>
          </w:p>
        </w:tc>
      </w:tr>
      <w:tr>
        <w:trPr>
          <w:trHeight w:val="110"/>
        </w:trPr>
        <w:tc>
          <w:tcPr>
            <w:tcW w:w="1820" w:type="dxa"/>
            <w:vAlign w:val="bottom"/>
          </w:tcPr>
          <w:p>
            <w:pPr>
              <w:jc w:val="center"/>
              <w:ind w:left="866"/>
              <w:spacing w:after="0" w:line="110" w:lineRule="exact"/>
              <w:rPr>
                <w:sz w:val="20"/>
                <w:szCs w:val="20"/>
                <w:color w:val="auto"/>
              </w:rPr>
            </w:pPr>
            <w:r>
              <w:rPr>
                <w:rFonts w:ascii="Arial" w:cs="Arial" w:eastAsia="Arial" w:hAnsi="Arial"/>
                <w:sz w:val="12"/>
                <w:szCs w:val="12"/>
                <w:b w:val="1"/>
                <w:bCs w:val="1"/>
                <w:color w:val="auto"/>
              </w:rPr>
              <w:t>Type</w:t>
            </w:r>
          </w:p>
        </w:tc>
        <w:tc>
          <w:tcPr>
            <w:tcW w:w="80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7"/>
              </w:rPr>
              <w:t>Title</w:t>
            </w:r>
          </w:p>
        </w:tc>
        <w:tc>
          <w:tcPr>
            <w:tcW w:w="9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8"/>
              </w:rPr>
              <w:t>Forward</w:t>
            </w:r>
          </w:p>
        </w:tc>
        <w:tc>
          <w:tcPr>
            <w:tcW w:w="880" w:type="dxa"/>
            <w:vAlign w:val="bottom"/>
          </w:tcPr>
          <w:p>
            <w:pPr>
              <w:jc w:val="right"/>
              <w:spacing w:after="0" w:line="110" w:lineRule="exact"/>
              <w:rPr>
                <w:sz w:val="20"/>
                <w:szCs w:val="20"/>
                <w:color w:val="auto"/>
              </w:rPr>
            </w:pPr>
            <w:r>
              <w:rPr>
                <w:rFonts w:ascii="Arial" w:cs="Arial" w:eastAsia="Arial" w:hAnsi="Arial"/>
                <w:sz w:val="12"/>
                <w:szCs w:val="12"/>
                <w:b w:val="1"/>
                <w:bCs w:val="1"/>
                <w:color w:val="auto"/>
              </w:rPr>
              <w:t>Registered</w:t>
            </w:r>
          </w:p>
        </w:tc>
        <w:tc>
          <w:tcPr>
            <w:tcW w:w="80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Price Per</w:t>
            </w:r>
          </w:p>
        </w:tc>
        <w:tc>
          <w:tcPr>
            <w:tcW w:w="116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Offering Price</w:t>
            </w:r>
          </w:p>
        </w:tc>
        <w:tc>
          <w:tcPr>
            <w:tcW w:w="1800" w:type="dxa"/>
            <w:vAlign w:val="bottom"/>
            <w:vMerge w:val="restart"/>
          </w:tcPr>
          <w:p>
            <w:pPr>
              <w:jc w:val="center"/>
              <w:ind w:left="719"/>
              <w:spacing w:after="0"/>
              <w:rPr>
                <w:sz w:val="20"/>
                <w:szCs w:val="20"/>
                <w:color w:val="auto"/>
              </w:rPr>
            </w:pPr>
            <w:r>
              <w:rPr>
                <w:rFonts w:ascii="Arial" w:cs="Arial" w:eastAsia="Arial" w:hAnsi="Arial"/>
                <w:sz w:val="16"/>
                <w:szCs w:val="16"/>
                <w:b w:val="1"/>
                <w:bCs w:val="1"/>
                <w:color w:val="auto"/>
              </w:rPr>
              <w:t>Fee</w:t>
            </w:r>
          </w:p>
        </w:tc>
        <w:tc>
          <w:tcPr>
            <w:tcW w:w="640" w:type="dxa"/>
            <w:vAlign w:val="bottom"/>
          </w:tcPr>
          <w:p>
            <w:pPr>
              <w:jc w:val="center"/>
              <w:spacing w:after="0" w:line="11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jc w:val="center"/>
              <w:spacing w:after="0" w:line="110" w:lineRule="exact"/>
              <w:rPr>
                <w:sz w:val="20"/>
                <w:szCs w:val="20"/>
                <w:color w:val="auto"/>
              </w:rPr>
            </w:pPr>
            <w:r>
              <w:rPr>
                <w:rFonts w:ascii="Arial" w:cs="Arial" w:eastAsia="Arial" w:hAnsi="Arial"/>
                <w:sz w:val="12"/>
                <w:szCs w:val="12"/>
                <w:b w:val="1"/>
                <w:bCs w:val="1"/>
                <w:color w:val="auto"/>
              </w:rPr>
              <w:t>File</w:t>
            </w:r>
          </w:p>
        </w:tc>
        <w:tc>
          <w:tcPr>
            <w:tcW w:w="7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8"/>
              </w:rPr>
              <w:t>Effective</w:t>
            </w:r>
          </w:p>
        </w:tc>
        <w:tc>
          <w:tcPr>
            <w:tcW w:w="980" w:type="dxa"/>
            <w:vAlign w:val="bottom"/>
          </w:tcPr>
          <w:p>
            <w:pPr>
              <w:jc w:val="center"/>
              <w:spacing w:after="0" w:line="110" w:lineRule="exact"/>
              <w:rPr>
                <w:sz w:val="20"/>
                <w:szCs w:val="20"/>
                <w:color w:val="auto"/>
              </w:rPr>
            </w:pPr>
            <w:r>
              <w:rPr>
                <w:rFonts w:ascii="Arial" w:cs="Arial" w:eastAsia="Arial" w:hAnsi="Arial"/>
                <w:sz w:val="12"/>
                <w:szCs w:val="12"/>
                <w:b w:val="1"/>
                <w:bCs w:val="1"/>
                <w:color w:val="auto"/>
              </w:rPr>
              <w:t>Unsold</w:t>
            </w:r>
          </w:p>
        </w:tc>
        <w:tc>
          <w:tcPr>
            <w:tcW w:w="0" w:type="dxa"/>
            <w:vAlign w:val="bottom"/>
          </w:tcPr>
          <w:p>
            <w:pPr>
              <w:spacing w:after="0"/>
              <w:rPr>
                <w:sz w:val="1"/>
                <w:szCs w:val="1"/>
                <w:color w:val="auto"/>
              </w:rPr>
            </w:pPr>
          </w:p>
        </w:tc>
      </w:tr>
      <w:tr>
        <w:trPr>
          <w:trHeight w:val="162"/>
        </w:trPr>
        <w:tc>
          <w:tcPr>
            <w:tcW w:w="18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1800" w:type="dxa"/>
            <w:vAlign w:val="bottom"/>
            <w:vMerge w:val="continue"/>
          </w:tcPr>
          <w:p>
            <w:pPr>
              <w:spacing w:after="0"/>
              <w:rPr>
                <w:sz w:val="14"/>
                <w:szCs w:val="14"/>
                <w:color w:val="auto"/>
              </w:rPr>
            </w:pPr>
          </w:p>
        </w:tc>
        <w:tc>
          <w:tcPr>
            <w:tcW w:w="6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6"/>
              </w:rPr>
              <w:t>Type</w:t>
            </w:r>
          </w:p>
        </w:tc>
        <w:tc>
          <w:tcPr>
            <w:tcW w:w="7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9"/>
              </w:rPr>
              <w:t>Number</w:t>
            </w:r>
          </w:p>
        </w:tc>
        <w:tc>
          <w:tcPr>
            <w:tcW w:w="780" w:type="dxa"/>
            <w:vAlign w:val="bottom"/>
            <w:vMerge w:val="continue"/>
          </w:tcPr>
          <w:p>
            <w:pPr>
              <w:spacing w:after="0"/>
              <w:rPr>
                <w:sz w:val="14"/>
                <w:szCs w:val="14"/>
                <w:color w:val="auto"/>
              </w:rPr>
            </w:pPr>
          </w:p>
        </w:tc>
        <w:tc>
          <w:tcPr>
            <w:tcW w:w="98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9"/>
              </w:rPr>
              <w:t>Securities</w:t>
            </w:r>
          </w:p>
        </w:tc>
        <w:tc>
          <w:tcPr>
            <w:tcW w:w="0" w:type="dxa"/>
            <w:vAlign w:val="bottom"/>
          </w:tcPr>
          <w:p>
            <w:pPr>
              <w:spacing w:after="0"/>
              <w:rPr>
                <w:sz w:val="1"/>
                <w:szCs w:val="1"/>
                <w:color w:val="auto"/>
              </w:rPr>
            </w:pPr>
          </w:p>
        </w:tc>
      </w:tr>
      <w:tr>
        <w:trPr>
          <w:trHeight w:val="35"/>
        </w:trPr>
        <w:tc>
          <w:tcPr>
            <w:tcW w:w="1820" w:type="dxa"/>
            <w:vAlign w:val="bottom"/>
          </w:tcPr>
          <w:p>
            <w:pPr>
              <w:spacing w:after="0"/>
              <w:rPr>
                <w:sz w:val="3"/>
                <w:szCs w:val="3"/>
                <w:color w:val="auto"/>
              </w:rPr>
            </w:pPr>
          </w:p>
        </w:tc>
        <w:tc>
          <w:tcPr>
            <w:tcW w:w="800" w:type="dxa"/>
            <w:vAlign w:val="bottom"/>
          </w:tcPr>
          <w:p>
            <w:pPr>
              <w:spacing w:after="0"/>
              <w:rPr>
                <w:sz w:val="3"/>
                <w:szCs w:val="3"/>
                <w:color w:val="auto"/>
              </w:rPr>
            </w:pPr>
          </w:p>
        </w:tc>
        <w:tc>
          <w:tcPr>
            <w:tcW w:w="940" w:type="dxa"/>
            <w:vAlign w:val="bottom"/>
          </w:tcPr>
          <w:p>
            <w:pPr>
              <w:jc w:val="center"/>
              <w:spacing w:after="0" w:line="36" w:lineRule="exact"/>
              <w:rPr>
                <w:sz w:val="20"/>
                <w:szCs w:val="20"/>
                <w:color w:val="auto"/>
              </w:rPr>
            </w:pPr>
            <w:r>
              <w:rPr>
                <w:rFonts w:ascii="Arial" w:cs="Arial" w:eastAsia="Arial" w:hAnsi="Arial"/>
                <w:sz w:val="4"/>
                <w:szCs w:val="4"/>
                <w:b w:val="1"/>
                <w:bCs w:val="1"/>
                <w:color w:val="auto"/>
              </w:rPr>
              <w:t>Rule</w:t>
            </w:r>
          </w:p>
        </w:tc>
        <w:tc>
          <w:tcPr>
            <w:tcW w:w="880" w:type="dxa"/>
            <w:vAlign w:val="bottom"/>
          </w:tcPr>
          <w:p>
            <w:pPr>
              <w:spacing w:after="0"/>
              <w:rPr>
                <w:sz w:val="3"/>
                <w:szCs w:val="3"/>
                <w:color w:val="auto"/>
              </w:rPr>
            </w:pPr>
          </w:p>
        </w:tc>
        <w:tc>
          <w:tcPr>
            <w:tcW w:w="800" w:type="dxa"/>
            <w:vAlign w:val="bottom"/>
          </w:tcPr>
          <w:p>
            <w:pPr>
              <w:jc w:val="center"/>
              <w:spacing w:after="0" w:line="36" w:lineRule="exact"/>
              <w:rPr>
                <w:sz w:val="20"/>
                <w:szCs w:val="20"/>
                <w:color w:val="auto"/>
              </w:rPr>
            </w:pPr>
            <w:r>
              <w:rPr>
                <w:rFonts w:ascii="Arial" w:cs="Arial" w:eastAsia="Arial" w:hAnsi="Arial"/>
                <w:sz w:val="4"/>
                <w:szCs w:val="4"/>
                <w:b w:val="1"/>
                <w:bCs w:val="1"/>
                <w:color w:val="auto"/>
              </w:rPr>
              <w:t>Unit</w:t>
            </w:r>
          </w:p>
        </w:tc>
        <w:tc>
          <w:tcPr>
            <w:tcW w:w="1160" w:type="dxa"/>
            <w:vAlign w:val="bottom"/>
          </w:tcPr>
          <w:p>
            <w:pPr>
              <w:spacing w:after="0"/>
              <w:rPr>
                <w:sz w:val="3"/>
                <w:szCs w:val="3"/>
                <w:color w:val="auto"/>
              </w:rPr>
            </w:pPr>
          </w:p>
        </w:tc>
        <w:tc>
          <w:tcPr>
            <w:tcW w:w="18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80" w:type="dxa"/>
            <w:vAlign w:val="bottom"/>
          </w:tcPr>
          <w:p>
            <w:pPr>
              <w:jc w:val="center"/>
              <w:spacing w:after="0" w:line="36" w:lineRule="exact"/>
              <w:rPr>
                <w:sz w:val="20"/>
                <w:szCs w:val="20"/>
                <w:color w:val="auto"/>
              </w:rPr>
            </w:pPr>
            <w:r>
              <w:rPr>
                <w:rFonts w:ascii="Arial" w:cs="Arial" w:eastAsia="Arial" w:hAnsi="Arial"/>
                <w:sz w:val="4"/>
                <w:szCs w:val="4"/>
                <w:b w:val="1"/>
                <w:bCs w:val="1"/>
                <w:color w:val="auto"/>
              </w:rPr>
              <w:t>Date</w:t>
            </w:r>
          </w:p>
        </w:tc>
        <w:tc>
          <w:tcPr>
            <w:tcW w:w="9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-831215</wp:posOffset>
            </wp:positionV>
            <wp:extent cx="7216140" cy="777494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41">
                      <a:extLst>
                        <a:ext uri="{28A0092B-C50C-407E-A947-70E740481C1C}"/>
                      </a:extLst>
                    </a:blip>
                    <a:srcRect/>
                    <a:stretch>
                      <a:fillRect/>
                    </a:stretch>
                  </pic:blipFill>
                  <pic:spPr bwMode="auto">
                    <a:xfrm>
                      <a:off x="0" y="0"/>
                      <a:ext cx="7216140" cy="7774940"/>
                    </a:xfrm>
                    <a:prstGeom prst="rect">
                      <a:avLst/>
                    </a:prstGeom>
                    <a:noFill/>
                  </pic:spPr>
                </pic:pic>
              </a:graphicData>
            </a:graphic>
          </wp:anchor>
        </w:drawing>
      </w:r>
    </w:p>
    <w:p>
      <w:pPr>
        <w:jc w:val="center"/>
        <w:ind w:left="10480"/>
        <w:spacing w:after="0" w:line="236" w:lineRule="auto"/>
        <w:rPr>
          <w:sz w:val="20"/>
          <w:szCs w:val="20"/>
          <w:color w:val="auto"/>
        </w:rPr>
      </w:pPr>
      <w:r>
        <w:rPr>
          <w:rFonts w:ascii="Arial" w:cs="Arial" w:eastAsia="Arial" w:hAnsi="Arial"/>
          <w:sz w:val="16"/>
          <w:szCs w:val="16"/>
          <w:b w:val="1"/>
          <w:bCs w:val="1"/>
          <w:color w:val="auto"/>
        </w:rPr>
        <w:t>to be</w:t>
      </w:r>
    </w:p>
    <w:p>
      <w:pPr>
        <w:jc w:val="center"/>
        <w:ind w:left="10480"/>
        <w:spacing w:after="0" w:line="237" w:lineRule="auto"/>
        <w:rPr>
          <w:sz w:val="20"/>
          <w:szCs w:val="20"/>
          <w:color w:val="auto"/>
        </w:rPr>
      </w:pPr>
      <w:r>
        <w:rPr>
          <w:rFonts w:ascii="Arial" w:cs="Arial" w:eastAsia="Arial" w:hAnsi="Arial"/>
          <w:sz w:val="16"/>
          <w:szCs w:val="16"/>
          <w:b w:val="1"/>
          <w:bCs w:val="1"/>
          <w:color w:val="auto"/>
        </w:rPr>
        <w:t>Carried</w:t>
      </w:r>
    </w:p>
    <w:p>
      <w:pPr>
        <w:jc w:val="center"/>
        <w:ind w:left="10460"/>
        <w:spacing w:after="0"/>
        <w:rPr>
          <w:sz w:val="20"/>
          <w:szCs w:val="20"/>
          <w:color w:val="auto"/>
        </w:rPr>
      </w:pPr>
      <w:r>
        <w:rPr>
          <w:rFonts w:ascii="Arial" w:cs="Arial" w:eastAsia="Arial" w:hAnsi="Arial"/>
          <w:sz w:val="16"/>
          <w:szCs w:val="16"/>
          <w:b w:val="1"/>
          <w:bCs w:val="1"/>
          <w:color w:val="auto"/>
        </w:rPr>
        <w:t>Forward</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Newly Registered Securities</w:t>
      </w:r>
    </w:p>
    <w:p>
      <w:pPr>
        <w:spacing w:after="0" w:line="35"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7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ind w:left="20"/>
              <w:spacing w:after="0"/>
              <w:rPr>
                <w:sz w:val="20"/>
                <w:szCs w:val="20"/>
                <w:color w:val="auto"/>
              </w:rPr>
            </w:pPr>
            <w:r>
              <w:rPr>
                <w:rFonts w:ascii="Arial" w:cs="Arial" w:eastAsia="Arial" w:hAnsi="Arial"/>
                <w:sz w:val="16"/>
                <w:szCs w:val="16"/>
                <w:color w:val="auto"/>
              </w:rPr>
              <w:t>Class A</w:t>
            </w: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ind w:left="20"/>
              <w:spacing w:after="0" w:line="181" w:lineRule="exact"/>
              <w:rPr>
                <w:sz w:val="20"/>
                <w:szCs w:val="20"/>
                <w:color w:val="auto"/>
              </w:rPr>
            </w:pPr>
            <w:r>
              <w:rPr>
                <w:rFonts w:ascii="Arial" w:cs="Arial" w:eastAsia="Arial" w:hAnsi="Arial"/>
                <w:sz w:val="16"/>
                <w:szCs w:val="16"/>
                <w:color w:val="auto"/>
              </w:rPr>
              <w:t>Common</w:t>
            </w: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vMerge w:val="restart"/>
            <w:shd w:val="clear" w:color="auto" w:fill="E7E7E2"/>
          </w:tcPr>
          <w:p>
            <w:pPr>
              <w:ind w:left="220"/>
              <w:spacing w:after="0"/>
              <w:rPr>
                <w:sz w:val="20"/>
                <w:szCs w:val="20"/>
                <w:color w:val="auto"/>
              </w:rPr>
            </w:pPr>
            <w:r>
              <w:rPr>
                <w:rFonts w:ascii="Arial" w:cs="Arial" w:eastAsia="Arial" w:hAnsi="Arial"/>
                <w:sz w:val="16"/>
                <w:szCs w:val="16"/>
                <w:color w:val="auto"/>
              </w:rPr>
              <w:t>Equity</w:t>
            </w:r>
          </w:p>
        </w:tc>
        <w:tc>
          <w:tcPr>
            <w:tcW w:w="20" w:type="dxa"/>
            <w:vAlign w:val="bottom"/>
          </w:tcPr>
          <w:p>
            <w:pPr>
              <w:spacing w:after="0"/>
              <w:rPr>
                <w:sz w:val="15"/>
                <w:szCs w:val="15"/>
                <w:color w:val="auto"/>
              </w:rPr>
            </w:pPr>
          </w:p>
        </w:tc>
        <w:tc>
          <w:tcPr>
            <w:tcW w:w="800" w:type="dxa"/>
            <w:vAlign w:val="bottom"/>
            <w:shd w:val="clear" w:color="auto" w:fill="E7E7E2"/>
          </w:tcPr>
          <w:p>
            <w:pPr>
              <w:ind w:left="20"/>
              <w:spacing w:after="0" w:line="181" w:lineRule="exact"/>
              <w:rPr>
                <w:sz w:val="20"/>
                <w:szCs w:val="20"/>
                <w:color w:val="auto"/>
              </w:rPr>
            </w:pPr>
            <w:r>
              <w:rPr>
                <w:rFonts w:ascii="Arial" w:cs="Arial" w:eastAsia="Arial" w:hAnsi="Arial"/>
                <w:sz w:val="16"/>
                <w:szCs w:val="16"/>
                <w:color w:val="auto"/>
              </w:rPr>
              <w:t>Stock, par</w:t>
            </w:r>
          </w:p>
        </w:tc>
        <w:tc>
          <w:tcPr>
            <w:tcW w:w="20" w:type="dxa"/>
            <w:vAlign w:val="bottom"/>
          </w:tcPr>
          <w:p>
            <w:pPr>
              <w:spacing w:after="0"/>
              <w:rPr>
                <w:sz w:val="15"/>
                <w:szCs w:val="15"/>
                <w:color w:val="auto"/>
              </w:rPr>
            </w:pPr>
          </w:p>
        </w:tc>
        <w:tc>
          <w:tcPr>
            <w:tcW w:w="800" w:type="dxa"/>
            <w:vAlign w:val="bottom"/>
            <w:vMerge w:val="restart"/>
            <w:shd w:val="clear" w:color="auto" w:fill="E7E7E2"/>
          </w:tcPr>
          <w:p>
            <w:pPr>
              <w:jc w:val="center"/>
              <w:ind w:left="19"/>
              <w:spacing w:after="0"/>
              <w:rPr>
                <w:sz w:val="20"/>
                <w:szCs w:val="20"/>
                <w:color w:val="auto"/>
              </w:rPr>
            </w:pPr>
            <w:r>
              <w:rPr>
                <w:rFonts w:ascii="Arial" w:cs="Arial" w:eastAsia="Arial" w:hAnsi="Arial"/>
                <w:sz w:val="16"/>
                <w:szCs w:val="16"/>
                <w:color w:val="auto"/>
                <w:w w:val="99"/>
              </w:rPr>
              <w:t>457(o)</w:t>
            </w: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23"/>
        </w:trPr>
        <w:tc>
          <w:tcPr>
            <w:tcW w:w="7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8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vMerge w:val="restart"/>
            <w:shd w:val="clear" w:color="auto" w:fill="E7E7E2"/>
          </w:tcPr>
          <w:p>
            <w:pPr>
              <w:ind w:left="20"/>
              <w:spacing w:after="0" w:line="181" w:lineRule="exact"/>
              <w:rPr>
                <w:sz w:val="20"/>
                <w:szCs w:val="20"/>
                <w:color w:val="auto"/>
              </w:rPr>
            </w:pPr>
            <w:r>
              <w:rPr>
                <w:rFonts w:ascii="Arial" w:cs="Arial" w:eastAsia="Arial" w:hAnsi="Arial"/>
                <w:sz w:val="16"/>
                <w:szCs w:val="16"/>
                <w:color w:val="auto"/>
              </w:rPr>
              <w:t>value</w:t>
            </w:r>
          </w:p>
        </w:tc>
        <w:tc>
          <w:tcPr>
            <w:tcW w:w="20" w:type="dxa"/>
            <w:vAlign w:val="bottom"/>
          </w:tcPr>
          <w:p>
            <w:pPr>
              <w:spacing w:after="0"/>
              <w:rPr>
                <w:sz w:val="10"/>
                <w:szCs w:val="10"/>
                <w:color w:val="auto"/>
              </w:rPr>
            </w:pPr>
          </w:p>
        </w:tc>
        <w:tc>
          <w:tcPr>
            <w:tcW w:w="800" w:type="dxa"/>
            <w:vAlign w:val="bottom"/>
            <w:vMerge w:val="continue"/>
            <w:shd w:val="clear" w:color="auto" w:fill="E7E7E2"/>
          </w:tcPr>
          <w:p>
            <w:pPr>
              <w:spacing w:after="0"/>
              <w:rPr>
                <w:sz w:val="10"/>
                <w:szCs w:val="10"/>
                <w:color w:val="auto"/>
              </w:rPr>
            </w:pPr>
          </w:p>
        </w:tc>
        <w:tc>
          <w:tcPr>
            <w:tcW w:w="1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14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shd w:val="clear" w:color="auto" w:fill="E7E7E2"/>
          </w:tcPr>
          <w:p>
            <w:pPr>
              <w:spacing w:after="0"/>
              <w:rPr>
                <w:sz w:val="10"/>
                <w:szCs w:val="10"/>
                <w:color w:val="auto"/>
              </w:rPr>
            </w:pPr>
          </w:p>
        </w:tc>
        <w:tc>
          <w:tcPr>
            <w:tcW w:w="0" w:type="dxa"/>
            <w:vAlign w:val="bottom"/>
          </w:tcPr>
          <w:p>
            <w:pPr>
              <w:spacing w:after="0"/>
              <w:rPr>
                <w:sz w:val="1"/>
                <w:szCs w:val="1"/>
                <w:color w:val="auto"/>
              </w:rPr>
            </w:pPr>
          </w:p>
        </w:tc>
      </w:tr>
      <w:tr>
        <w:trPr>
          <w:trHeight w:val="58"/>
        </w:trPr>
        <w:tc>
          <w:tcPr>
            <w:tcW w:w="76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vMerge w:val="continue"/>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shd w:val="clear" w:color="auto" w:fill="E7E7E2"/>
          </w:tcPr>
          <w:p>
            <w:pPr>
              <w:spacing w:after="0"/>
              <w:rPr>
                <w:sz w:val="5"/>
                <w:szCs w:val="5"/>
                <w:color w:val="auto"/>
              </w:rPr>
            </w:pPr>
          </w:p>
        </w:tc>
        <w:tc>
          <w:tcPr>
            <w:tcW w:w="1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6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6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14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6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66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4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00" w:type="dxa"/>
            <w:vAlign w:val="bottom"/>
            <w:shd w:val="clear" w:color="auto" w:fill="E7E7E2"/>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ind w:left="20"/>
              <w:spacing w:after="0" w:line="181" w:lineRule="exact"/>
              <w:rPr>
                <w:sz w:val="20"/>
                <w:szCs w:val="20"/>
                <w:color w:val="auto"/>
              </w:rPr>
            </w:pPr>
            <w:r>
              <w:rPr>
                <w:rFonts w:ascii="Arial" w:cs="Arial" w:eastAsia="Arial" w:hAnsi="Arial"/>
                <w:sz w:val="16"/>
                <w:szCs w:val="16"/>
                <w:color w:val="auto"/>
                <w:w w:val="99"/>
              </w:rPr>
              <w:t>$0.001 per</w:t>
            </w: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7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shd w:val="clear" w:color="auto" w:fill="E7E7E2"/>
          </w:tcPr>
          <w:p>
            <w:pPr>
              <w:ind w:left="20"/>
              <w:spacing w:after="0"/>
              <w:rPr>
                <w:sz w:val="20"/>
                <w:szCs w:val="20"/>
                <w:color w:val="auto"/>
              </w:rPr>
            </w:pPr>
            <w:r>
              <w:rPr>
                <w:rFonts w:ascii="Arial" w:cs="Arial" w:eastAsia="Arial" w:hAnsi="Arial"/>
                <w:sz w:val="16"/>
                <w:szCs w:val="16"/>
                <w:color w:val="auto"/>
              </w:rPr>
              <w:t>share</w:t>
            </w:r>
          </w:p>
        </w:tc>
        <w:tc>
          <w:tcPr>
            <w:tcW w:w="20" w:type="dxa"/>
            <w:vAlign w:val="bottom"/>
          </w:tcPr>
          <w:p>
            <w:pPr>
              <w:spacing w:after="0"/>
              <w:rPr>
                <w:sz w:val="18"/>
                <w:szCs w:val="18"/>
                <w:color w:val="auto"/>
              </w:rPr>
            </w:pPr>
          </w:p>
        </w:tc>
        <w:tc>
          <w:tcPr>
            <w:tcW w:w="800" w:type="dxa"/>
            <w:vAlign w:val="bottom"/>
            <w:shd w:val="clear" w:color="auto" w:fill="E7E7E2"/>
          </w:tcPr>
          <w:p>
            <w:pPr>
              <w:spacing w:after="0"/>
              <w:rPr>
                <w:sz w:val="18"/>
                <w:szCs w:val="18"/>
                <w:color w:val="auto"/>
              </w:rPr>
            </w:pPr>
          </w:p>
        </w:tc>
        <w:tc>
          <w:tcPr>
            <w:tcW w:w="1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7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shd w:val="clear" w:color="auto" w:fill="E7E7E2"/>
          </w:tcPr>
          <w:p>
            <w:pPr>
              <w:ind w:left="20"/>
              <w:spacing w:after="0" w:line="171" w:lineRule="exact"/>
              <w:rPr>
                <w:sz w:val="20"/>
                <w:szCs w:val="20"/>
                <w:color w:val="auto"/>
              </w:rPr>
            </w:pPr>
            <w:r>
              <w:rPr>
                <w:rFonts w:ascii="Arial" w:cs="Arial" w:eastAsia="Arial" w:hAnsi="Arial"/>
                <w:sz w:val="16"/>
                <w:szCs w:val="16"/>
                <w:color w:val="auto"/>
              </w:rPr>
              <w:t>Preferred</w:t>
            </w:r>
          </w:p>
        </w:tc>
        <w:tc>
          <w:tcPr>
            <w:tcW w:w="20" w:type="dxa"/>
            <w:vAlign w:val="bottom"/>
          </w:tcPr>
          <w:p>
            <w:pPr>
              <w:spacing w:after="0"/>
              <w:rPr>
                <w:sz w:val="14"/>
                <w:szCs w:val="14"/>
                <w:color w:val="auto"/>
              </w:rPr>
            </w:pPr>
          </w:p>
        </w:tc>
        <w:tc>
          <w:tcPr>
            <w:tcW w:w="800" w:type="dxa"/>
            <w:vAlign w:val="bottom"/>
            <w:shd w:val="clear" w:color="auto" w:fill="E7E7E2"/>
          </w:tcPr>
          <w:p>
            <w:pPr>
              <w:spacing w:after="0"/>
              <w:rPr>
                <w:sz w:val="14"/>
                <w:szCs w:val="14"/>
                <w:color w:val="auto"/>
              </w:rPr>
            </w:pPr>
          </w:p>
        </w:tc>
        <w:tc>
          <w:tcPr>
            <w:tcW w:w="1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ind w:left="20"/>
              <w:spacing w:after="0" w:line="181" w:lineRule="exact"/>
              <w:rPr>
                <w:sz w:val="20"/>
                <w:szCs w:val="20"/>
                <w:color w:val="auto"/>
              </w:rPr>
            </w:pPr>
            <w:r>
              <w:rPr>
                <w:rFonts w:ascii="Arial" w:cs="Arial" w:eastAsia="Arial" w:hAnsi="Arial"/>
                <w:sz w:val="16"/>
                <w:szCs w:val="16"/>
                <w:color w:val="auto"/>
              </w:rPr>
              <w:t>Stock, par</w:t>
            </w: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ind w:left="220"/>
              <w:spacing w:after="0" w:line="181" w:lineRule="exact"/>
              <w:rPr>
                <w:sz w:val="20"/>
                <w:szCs w:val="20"/>
                <w:color w:val="auto"/>
              </w:rPr>
            </w:pPr>
            <w:r>
              <w:rPr>
                <w:rFonts w:ascii="Arial" w:cs="Arial" w:eastAsia="Arial" w:hAnsi="Arial"/>
                <w:sz w:val="16"/>
                <w:szCs w:val="16"/>
                <w:color w:val="auto"/>
              </w:rPr>
              <w:t>Equity</w:t>
            </w:r>
          </w:p>
        </w:tc>
        <w:tc>
          <w:tcPr>
            <w:tcW w:w="20" w:type="dxa"/>
            <w:vAlign w:val="bottom"/>
          </w:tcPr>
          <w:p>
            <w:pPr>
              <w:spacing w:after="0"/>
              <w:rPr>
                <w:sz w:val="15"/>
                <w:szCs w:val="15"/>
                <w:color w:val="auto"/>
              </w:rPr>
            </w:pPr>
          </w:p>
        </w:tc>
        <w:tc>
          <w:tcPr>
            <w:tcW w:w="800" w:type="dxa"/>
            <w:vAlign w:val="bottom"/>
            <w:shd w:val="clear" w:color="auto" w:fill="E7E7E2"/>
          </w:tcPr>
          <w:p>
            <w:pPr>
              <w:ind w:left="20"/>
              <w:spacing w:after="0" w:line="181" w:lineRule="exact"/>
              <w:rPr>
                <w:sz w:val="20"/>
                <w:szCs w:val="20"/>
                <w:color w:val="auto"/>
              </w:rPr>
            </w:pPr>
            <w:r>
              <w:rPr>
                <w:rFonts w:ascii="Arial" w:cs="Arial" w:eastAsia="Arial" w:hAnsi="Arial"/>
                <w:sz w:val="16"/>
                <w:szCs w:val="16"/>
                <w:color w:val="auto"/>
              </w:rPr>
              <w:t>value</w:t>
            </w:r>
          </w:p>
        </w:tc>
        <w:tc>
          <w:tcPr>
            <w:tcW w:w="20" w:type="dxa"/>
            <w:vAlign w:val="bottom"/>
          </w:tcPr>
          <w:p>
            <w:pPr>
              <w:spacing w:after="0"/>
              <w:rPr>
                <w:sz w:val="15"/>
                <w:szCs w:val="15"/>
                <w:color w:val="auto"/>
              </w:rPr>
            </w:pPr>
          </w:p>
        </w:tc>
        <w:tc>
          <w:tcPr>
            <w:tcW w:w="800" w:type="dxa"/>
            <w:vAlign w:val="bottom"/>
            <w:shd w:val="clear" w:color="auto" w:fill="E7E7E2"/>
          </w:tcPr>
          <w:p>
            <w:pPr>
              <w:jc w:val="center"/>
              <w:ind w:left="19"/>
              <w:spacing w:after="0" w:line="181" w:lineRule="exact"/>
              <w:rPr>
                <w:sz w:val="20"/>
                <w:szCs w:val="20"/>
                <w:color w:val="auto"/>
              </w:rPr>
            </w:pPr>
            <w:r>
              <w:rPr>
                <w:rFonts w:ascii="Arial" w:cs="Arial" w:eastAsia="Arial" w:hAnsi="Arial"/>
                <w:sz w:val="16"/>
                <w:szCs w:val="16"/>
                <w:color w:val="auto"/>
                <w:w w:val="99"/>
              </w:rPr>
              <w:t>457(o)</w:t>
            </w: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ind w:left="20"/>
              <w:spacing w:after="0" w:line="181" w:lineRule="exact"/>
              <w:rPr>
                <w:sz w:val="20"/>
                <w:szCs w:val="20"/>
                <w:color w:val="auto"/>
              </w:rPr>
            </w:pPr>
            <w:r>
              <w:rPr>
                <w:rFonts w:ascii="Arial" w:cs="Arial" w:eastAsia="Arial" w:hAnsi="Arial"/>
                <w:sz w:val="16"/>
                <w:szCs w:val="16"/>
                <w:color w:val="auto"/>
                <w:w w:val="99"/>
              </w:rPr>
              <w:t>$0.001 per</w:t>
            </w: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7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shd w:val="clear" w:color="auto" w:fill="E7E7E2"/>
          </w:tcPr>
          <w:p>
            <w:pPr>
              <w:ind w:left="20"/>
              <w:spacing w:after="0"/>
              <w:rPr>
                <w:sz w:val="20"/>
                <w:szCs w:val="20"/>
                <w:color w:val="auto"/>
              </w:rPr>
            </w:pPr>
            <w:r>
              <w:rPr>
                <w:rFonts w:ascii="Arial" w:cs="Arial" w:eastAsia="Arial" w:hAnsi="Arial"/>
                <w:sz w:val="16"/>
                <w:szCs w:val="16"/>
                <w:color w:val="auto"/>
              </w:rPr>
              <w:t>share</w:t>
            </w:r>
          </w:p>
        </w:tc>
        <w:tc>
          <w:tcPr>
            <w:tcW w:w="20" w:type="dxa"/>
            <w:vAlign w:val="bottom"/>
          </w:tcPr>
          <w:p>
            <w:pPr>
              <w:spacing w:after="0"/>
              <w:rPr>
                <w:sz w:val="18"/>
                <w:szCs w:val="18"/>
                <w:color w:val="auto"/>
              </w:rPr>
            </w:pPr>
          </w:p>
        </w:tc>
        <w:tc>
          <w:tcPr>
            <w:tcW w:w="800" w:type="dxa"/>
            <w:vAlign w:val="bottom"/>
            <w:shd w:val="clear" w:color="auto" w:fill="E7E7E2"/>
          </w:tcPr>
          <w:p>
            <w:pPr>
              <w:spacing w:after="0"/>
              <w:rPr>
                <w:sz w:val="18"/>
                <w:szCs w:val="18"/>
                <w:color w:val="auto"/>
              </w:rPr>
            </w:pPr>
          </w:p>
        </w:tc>
        <w:tc>
          <w:tcPr>
            <w:tcW w:w="1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7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vMerge w:val="restart"/>
            <w:shd w:val="clear" w:color="auto" w:fill="E7E7E2"/>
          </w:tcPr>
          <w:p>
            <w:pPr>
              <w:ind w:left="220"/>
              <w:spacing w:after="0"/>
              <w:rPr>
                <w:sz w:val="20"/>
                <w:szCs w:val="20"/>
                <w:color w:val="auto"/>
              </w:rPr>
            </w:pPr>
            <w:r>
              <w:rPr>
                <w:rFonts w:ascii="Arial" w:cs="Arial" w:eastAsia="Arial" w:hAnsi="Arial"/>
                <w:sz w:val="16"/>
                <w:szCs w:val="16"/>
                <w:color w:val="auto"/>
              </w:rPr>
              <w:t>Other</w:t>
            </w:r>
          </w:p>
        </w:tc>
        <w:tc>
          <w:tcPr>
            <w:tcW w:w="20" w:type="dxa"/>
            <w:vAlign w:val="bottom"/>
          </w:tcPr>
          <w:p>
            <w:pPr>
              <w:spacing w:after="0"/>
              <w:rPr>
                <w:sz w:val="14"/>
                <w:szCs w:val="14"/>
                <w:color w:val="auto"/>
              </w:rPr>
            </w:pPr>
          </w:p>
        </w:tc>
        <w:tc>
          <w:tcPr>
            <w:tcW w:w="800" w:type="dxa"/>
            <w:vAlign w:val="bottom"/>
            <w:shd w:val="clear" w:color="auto" w:fill="E7E7E2"/>
          </w:tcPr>
          <w:p>
            <w:pPr>
              <w:ind w:left="20"/>
              <w:spacing w:after="0" w:line="171" w:lineRule="exact"/>
              <w:rPr>
                <w:sz w:val="20"/>
                <w:szCs w:val="20"/>
                <w:color w:val="auto"/>
              </w:rPr>
            </w:pPr>
            <w:r>
              <w:rPr>
                <w:rFonts w:ascii="Arial" w:cs="Arial" w:eastAsia="Arial" w:hAnsi="Arial"/>
                <w:sz w:val="16"/>
                <w:szCs w:val="16"/>
                <w:color w:val="auto"/>
                <w:w w:val="99"/>
              </w:rPr>
              <w:t>Depositary</w:t>
            </w:r>
          </w:p>
        </w:tc>
        <w:tc>
          <w:tcPr>
            <w:tcW w:w="20" w:type="dxa"/>
            <w:vAlign w:val="bottom"/>
          </w:tcPr>
          <w:p>
            <w:pPr>
              <w:spacing w:after="0"/>
              <w:rPr>
                <w:sz w:val="14"/>
                <w:szCs w:val="14"/>
                <w:color w:val="auto"/>
              </w:rPr>
            </w:pPr>
          </w:p>
        </w:tc>
        <w:tc>
          <w:tcPr>
            <w:tcW w:w="800" w:type="dxa"/>
            <w:vAlign w:val="bottom"/>
            <w:vMerge w:val="restart"/>
            <w:shd w:val="clear" w:color="auto" w:fill="E7E7E2"/>
          </w:tcPr>
          <w:p>
            <w:pPr>
              <w:jc w:val="center"/>
              <w:ind w:left="19"/>
              <w:spacing w:after="0"/>
              <w:rPr>
                <w:sz w:val="20"/>
                <w:szCs w:val="20"/>
                <w:color w:val="auto"/>
              </w:rPr>
            </w:pPr>
            <w:r>
              <w:rPr>
                <w:rFonts w:ascii="Arial" w:cs="Arial" w:eastAsia="Arial" w:hAnsi="Arial"/>
                <w:sz w:val="16"/>
                <w:szCs w:val="16"/>
                <w:color w:val="auto"/>
                <w:w w:val="99"/>
              </w:rPr>
              <w:t>457(o)</w:t>
            </w:r>
          </w:p>
        </w:tc>
        <w:tc>
          <w:tcPr>
            <w:tcW w:w="1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7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8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vMerge w:val="restart"/>
            <w:shd w:val="clear" w:color="auto" w:fill="E7E7E2"/>
          </w:tcPr>
          <w:p>
            <w:pPr>
              <w:ind w:left="20"/>
              <w:spacing w:after="0"/>
              <w:rPr>
                <w:sz w:val="20"/>
                <w:szCs w:val="20"/>
                <w:color w:val="auto"/>
              </w:rPr>
            </w:pPr>
            <w:r>
              <w:rPr>
                <w:rFonts w:ascii="Arial" w:cs="Arial" w:eastAsia="Arial" w:hAnsi="Arial"/>
                <w:sz w:val="16"/>
                <w:szCs w:val="16"/>
                <w:color w:val="auto"/>
              </w:rPr>
              <w:t>Shares</w:t>
            </w:r>
          </w:p>
        </w:tc>
        <w:tc>
          <w:tcPr>
            <w:tcW w:w="20" w:type="dxa"/>
            <w:vAlign w:val="bottom"/>
          </w:tcPr>
          <w:p>
            <w:pPr>
              <w:spacing w:after="0"/>
              <w:rPr>
                <w:sz w:val="10"/>
                <w:szCs w:val="10"/>
                <w:color w:val="auto"/>
              </w:rPr>
            </w:pPr>
          </w:p>
        </w:tc>
        <w:tc>
          <w:tcPr>
            <w:tcW w:w="800" w:type="dxa"/>
            <w:vAlign w:val="bottom"/>
            <w:vMerge w:val="continue"/>
            <w:shd w:val="clear" w:color="auto" w:fill="E7E7E2"/>
          </w:tcPr>
          <w:p>
            <w:pPr>
              <w:spacing w:after="0"/>
              <w:rPr>
                <w:sz w:val="10"/>
                <w:szCs w:val="10"/>
                <w:color w:val="auto"/>
              </w:rPr>
            </w:pPr>
          </w:p>
        </w:tc>
        <w:tc>
          <w:tcPr>
            <w:tcW w:w="1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14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shd w:val="clear" w:color="auto" w:fill="E7E7E2"/>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7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shd w:val="clear" w:color="auto" w:fill="E7E7E2"/>
          </w:tcPr>
          <w:p>
            <w:pPr>
              <w:spacing w:after="0"/>
              <w:rPr>
                <w:sz w:val="7"/>
                <w:szCs w:val="7"/>
                <w:color w:val="auto"/>
              </w:rPr>
            </w:pPr>
          </w:p>
        </w:tc>
        <w:tc>
          <w:tcPr>
            <w:tcW w:w="1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14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4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shd w:val="clear" w:color="auto" w:fill="E7E7E2"/>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7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shd w:val="clear" w:color="auto" w:fill="E7E7E2"/>
          </w:tcPr>
          <w:p>
            <w:pPr>
              <w:ind w:left="220"/>
              <w:spacing w:after="0"/>
              <w:rPr>
                <w:sz w:val="20"/>
                <w:szCs w:val="20"/>
                <w:color w:val="auto"/>
              </w:rPr>
            </w:pPr>
            <w:r>
              <w:rPr>
                <w:rFonts w:ascii="Arial" w:cs="Arial" w:eastAsia="Arial" w:hAnsi="Arial"/>
                <w:sz w:val="16"/>
                <w:szCs w:val="16"/>
                <w:color w:val="auto"/>
              </w:rPr>
              <w:t>Other</w:t>
            </w:r>
          </w:p>
        </w:tc>
        <w:tc>
          <w:tcPr>
            <w:tcW w:w="20" w:type="dxa"/>
            <w:vAlign w:val="bottom"/>
          </w:tcPr>
          <w:p>
            <w:pPr>
              <w:spacing w:after="0"/>
              <w:rPr>
                <w:sz w:val="17"/>
                <w:szCs w:val="17"/>
                <w:color w:val="auto"/>
              </w:rPr>
            </w:pPr>
          </w:p>
        </w:tc>
        <w:tc>
          <w:tcPr>
            <w:tcW w:w="800" w:type="dxa"/>
            <w:vAlign w:val="bottom"/>
            <w:shd w:val="clear" w:color="auto" w:fill="E7E7E2"/>
          </w:tcPr>
          <w:p>
            <w:pPr>
              <w:ind w:left="20"/>
              <w:spacing w:after="0"/>
              <w:rPr>
                <w:sz w:val="20"/>
                <w:szCs w:val="20"/>
                <w:color w:val="auto"/>
              </w:rPr>
            </w:pPr>
            <w:r>
              <w:rPr>
                <w:rFonts w:ascii="Arial" w:cs="Arial" w:eastAsia="Arial" w:hAnsi="Arial"/>
                <w:sz w:val="16"/>
                <w:szCs w:val="16"/>
                <w:color w:val="auto"/>
              </w:rPr>
              <w:t>Warrants</w:t>
            </w:r>
          </w:p>
        </w:tc>
        <w:tc>
          <w:tcPr>
            <w:tcW w:w="20" w:type="dxa"/>
            <w:vAlign w:val="bottom"/>
          </w:tcPr>
          <w:p>
            <w:pPr>
              <w:spacing w:after="0"/>
              <w:rPr>
                <w:sz w:val="17"/>
                <w:szCs w:val="17"/>
                <w:color w:val="auto"/>
              </w:rPr>
            </w:pPr>
          </w:p>
        </w:tc>
        <w:tc>
          <w:tcPr>
            <w:tcW w:w="800" w:type="dxa"/>
            <w:vAlign w:val="bottom"/>
            <w:shd w:val="clear" w:color="auto" w:fill="E7E7E2"/>
          </w:tcPr>
          <w:p>
            <w:pPr>
              <w:jc w:val="center"/>
              <w:ind w:left="19"/>
              <w:spacing w:after="0"/>
              <w:rPr>
                <w:sz w:val="20"/>
                <w:szCs w:val="20"/>
                <w:color w:val="auto"/>
              </w:rPr>
            </w:pPr>
            <w:r>
              <w:rPr>
                <w:rFonts w:ascii="Arial" w:cs="Arial" w:eastAsia="Arial" w:hAnsi="Arial"/>
                <w:sz w:val="16"/>
                <w:szCs w:val="16"/>
                <w:color w:val="auto"/>
                <w:w w:val="99"/>
              </w:rPr>
              <w:t>457(o)</w:t>
            </w:r>
          </w:p>
        </w:tc>
        <w:tc>
          <w:tcPr>
            <w:tcW w:w="10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14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shd w:val="clear" w:color="auto" w:fill="E7E7E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7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shd w:val="clear" w:color="auto" w:fill="E7E7E2"/>
          </w:tcPr>
          <w:p>
            <w:pPr>
              <w:ind w:left="220"/>
              <w:spacing w:after="0"/>
              <w:rPr>
                <w:sz w:val="20"/>
                <w:szCs w:val="20"/>
                <w:color w:val="auto"/>
              </w:rPr>
            </w:pPr>
            <w:r>
              <w:rPr>
                <w:rFonts w:ascii="Arial" w:cs="Arial" w:eastAsia="Arial" w:hAnsi="Arial"/>
                <w:sz w:val="16"/>
                <w:szCs w:val="16"/>
                <w:color w:val="auto"/>
              </w:rPr>
              <w:t>Other</w:t>
            </w:r>
          </w:p>
        </w:tc>
        <w:tc>
          <w:tcPr>
            <w:tcW w:w="20" w:type="dxa"/>
            <w:vAlign w:val="bottom"/>
          </w:tcPr>
          <w:p>
            <w:pPr>
              <w:spacing w:after="0"/>
              <w:rPr>
                <w:sz w:val="17"/>
                <w:szCs w:val="17"/>
                <w:color w:val="auto"/>
              </w:rPr>
            </w:pPr>
          </w:p>
        </w:tc>
        <w:tc>
          <w:tcPr>
            <w:tcW w:w="800" w:type="dxa"/>
            <w:vAlign w:val="bottom"/>
            <w:shd w:val="clear" w:color="auto" w:fill="E7E7E2"/>
          </w:tcPr>
          <w:p>
            <w:pPr>
              <w:ind w:left="20"/>
              <w:spacing w:after="0"/>
              <w:rPr>
                <w:sz w:val="20"/>
                <w:szCs w:val="20"/>
                <w:color w:val="auto"/>
              </w:rPr>
            </w:pPr>
            <w:r>
              <w:rPr>
                <w:rFonts w:ascii="Arial" w:cs="Arial" w:eastAsia="Arial" w:hAnsi="Arial"/>
                <w:sz w:val="16"/>
                <w:szCs w:val="16"/>
                <w:color w:val="auto"/>
              </w:rPr>
              <w:t>Rights</w:t>
            </w:r>
          </w:p>
        </w:tc>
        <w:tc>
          <w:tcPr>
            <w:tcW w:w="20" w:type="dxa"/>
            <w:vAlign w:val="bottom"/>
          </w:tcPr>
          <w:p>
            <w:pPr>
              <w:spacing w:after="0"/>
              <w:rPr>
                <w:sz w:val="17"/>
                <w:szCs w:val="17"/>
                <w:color w:val="auto"/>
              </w:rPr>
            </w:pPr>
          </w:p>
        </w:tc>
        <w:tc>
          <w:tcPr>
            <w:tcW w:w="800" w:type="dxa"/>
            <w:vAlign w:val="bottom"/>
            <w:shd w:val="clear" w:color="auto" w:fill="E7E7E2"/>
          </w:tcPr>
          <w:p>
            <w:pPr>
              <w:jc w:val="center"/>
              <w:ind w:left="19"/>
              <w:spacing w:after="0"/>
              <w:rPr>
                <w:sz w:val="20"/>
                <w:szCs w:val="20"/>
                <w:color w:val="auto"/>
              </w:rPr>
            </w:pPr>
            <w:r>
              <w:rPr>
                <w:rFonts w:ascii="Arial" w:cs="Arial" w:eastAsia="Arial" w:hAnsi="Arial"/>
                <w:sz w:val="16"/>
                <w:szCs w:val="16"/>
                <w:color w:val="auto"/>
                <w:w w:val="99"/>
              </w:rPr>
              <w:t>457(o)</w:t>
            </w:r>
          </w:p>
        </w:tc>
        <w:tc>
          <w:tcPr>
            <w:tcW w:w="10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14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shd w:val="clear" w:color="auto" w:fill="E7E7E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7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shd w:val="clear" w:color="auto" w:fill="E7E7E2"/>
          </w:tcPr>
          <w:p>
            <w:pPr>
              <w:ind w:left="220"/>
              <w:spacing w:after="0"/>
              <w:rPr>
                <w:sz w:val="20"/>
                <w:szCs w:val="20"/>
                <w:color w:val="auto"/>
              </w:rPr>
            </w:pPr>
            <w:r>
              <w:rPr>
                <w:rFonts w:ascii="Arial" w:cs="Arial" w:eastAsia="Arial" w:hAnsi="Arial"/>
                <w:sz w:val="16"/>
                <w:szCs w:val="16"/>
                <w:color w:val="auto"/>
              </w:rPr>
              <w:t>Other</w:t>
            </w:r>
          </w:p>
        </w:tc>
        <w:tc>
          <w:tcPr>
            <w:tcW w:w="20" w:type="dxa"/>
            <w:vAlign w:val="bottom"/>
          </w:tcPr>
          <w:p>
            <w:pPr>
              <w:spacing w:after="0"/>
              <w:rPr>
                <w:sz w:val="17"/>
                <w:szCs w:val="17"/>
                <w:color w:val="auto"/>
              </w:rPr>
            </w:pPr>
          </w:p>
        </w:tc>
        <w:tc>
          <w:tcPr>
            <w:tcW w:w="800" w:type="dxa"/>
            <w:vAlign w:val="bottom"/>
            <w:shd w:val="clear" w:color="auto" w:fill="E7E7E2"/>
          </w:tcPr>
          <w:p>
            <w:pPr>
              <w:ind w:left="20"/>
              <w:spacing w:after="0"/>
              <w:rPr>
                <w:sz w:val="20"/>
                <w:szCs w:val="20"/>
                <w:color w:val="auto"/>
              </w:rPr>
            </w:pPr>
            <w:r>
              <w:rPr>
                <w:rFonts w:ascii="Arial" w:cs="Arial" w:eastAsia="Arial" w:hAnsi="Arial"/>
                <w:sz w:val="16"/>
                <w:szCs w:val="16"/>
                <w:color w:val="auto"/>
              </w:rPr>
              <w:t>Units</w:t>
            </w:r>
          </w:p>
        </w:tc>
        <w:tc>
          <w:tcPr>
            <w:tcW w:w="20" w:type="dxa"/>
            <w:vAlign w:val="bottom"/>
          </w:tcPr>
          <w:p>
            <w:pPr>
              <w:spacing w:after="0"/>
              <w:rPr>
                <w:sz w:val="17"/>
                <w:szCs w:val="17"/>
                <w:color w:val="auto"/>
              </w:rPr>
            </w:pPr>
          </w:p>
        </w:tc>
        <w:tc>
          <w:tcPr>
            <w:tcW w:w="800" w:type="dxa"/>
            <w:vAlign w:val="bottom"/>
            <w:shd w:val="clear" w:color="auto" w:fill="E7E7E2"/>
          </w:tcPr>
          <w:p>
            <w:pPr>
              <w:jc w:val="center"/>
              <w:ind w:left="19"/>
              <w:spacing w:after="0"/>
              <w:rPr>
                <w:sz w:val="20"/>
                <w:szCs w:val="20"/>
                <w:color w:val="auto"/>
              </w:rPr>
            </w:pPr>
            <w:r>
              <w:rPr>
                <w:rFonts w:ascii="Arial" w:cs="Arial" w:eastAsia="Arial" w:hAnsi="Arial"/>
                <w:sz w:val="16"/>
                <w:szCs w:val="16"/>
                <w:color w:val="auto"/>
                <w:w w:val="99"/>
              </w:rPr>
              <w:t>457(o)</w:t>
            </w:r>
          </w:p>
        </w:tc>
        <w:tc>
          <w:tcPr>
            <w:tcW w:w="10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14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shd w:val="clear" w:color="auto" w:fill="E7E7E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76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Fees to</w:t>
            </w:r>
          </w:p>
        </w:tc>
        <w:tc>
          <w:tcPr>
            <w:tcW w:w="20" w:type="dxa"/>
            <w:vAlign w:val="bottom"/>
          </w:tcPr>
          <w:p>
            <w:pPr>
              <w:spacing w:after="0"/>
              <w:rPr>
                <w:sz w:val="14"/>
                <w:szCs w:val="14"/>
                <w:color w:val="auto"/>
              </w:rPr>
            </w:pPr>
          </w:p>
        </w:tc>
        <w:tc>
          <w:tcPr>
            <w:tcW w:w="1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shd w:val="clear" w:color="auto" w:fill="E7E7E2"/>
          </w:tcPr>
          <w:p>
            <w:pPr>
              <w:ind w:left="20"/>
              <w:spacing w:after="0" w:line="171" w:lineRule="exact"/>
              <w:rPr>
                <w:sz w:val="20"/>
                <w:szCs w:val="20"/>
                <w:color w:val="auto"/>
              </w:rPr>
            </w:pPr>
            <w:r>
              <w:rPr>
                <w:rFonts w:ascii="Arial" w:cs="Arial" w:eastAsia="Arial" w:hAnsi="Arial"/>
                <w:sz w:val="16"/>
                <w:szCs w:val="16"/>
                <w:color w:val="auto"/>
                <w:w w:val="99"/>
              </w:rPr>
              <w:t>Unallocated</w:t>
            </w:r>
          </w:p>
        </w:tc>
        <w:tc>
          <w:tcPr>
            <w:tcW w:w="20" w:type="dxa"/>
            <w:vAlign w:val="bottom"/>
          </w:tcPr>
          <w:p>
            <w:pPr>
              <w:spacing w:after="0"/>
              <w:rPr>
                <w:sz w:val="14"/>
                <w:szCs w:val="14"/>
                <w:color w:val="auto"/>
              </w:rPr>
            </w:pPr>
          </w:p>
        </w:tc>
        <w:tc>
          <w:tcPr>
            <w:tcW w:w="8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shd w:val="clear" w:color="auto" w:fill="E7E7E2"/>
          </w:tcPr>
          <w:p>
            <w:pPr>
              <w:spacing w:after="0"/>
              <w:rPr>
                <w:sz w:val="14"/>
                <w:szCs w:val="14"/>
                <w:color w:val="auto"/>
              </w:rPr>
            </w:pPr>
          </w:p>
        </w:tc>
        <w:tc>
          <w:tcPr>
            <w:tcW w:w="1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4"/>
                <w:szCs w:val="14"/>
                <w:color w:val="auto"/>
              </w:rPr>
            </w:pPr>
          </w:p>
        </w:tc>
        <w:tc>
          <w:tcPr>
            <w:tcW w:w="8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76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w w:val="89"/>
              </w:rPr>
              <w:t>1</w:t>
            </w:r>
          </w:p>
        </w:tc>
        <w:tc>
          <w:tcPr>
            <w:tcW w:w="20" w:type="dxa"/>
            <w:vAlign w:val="bottom"/>
          </w:tcPr>
          <w:p>
            <w:pPr>
              <w:spacing w:after="0"/>
              <w:rPr>
                <w:sz w:val="7"/>
                <w:szCs w:val="7"/>
                <w:color w:val="auto"/>
              </w:rPr>
            </w:pPr>
          </w:p>
        </w:tc>
        <w:tc>
          <w:tcPr>
            <w:tcW w:w="880" w:type="dxa"/>
            <w:vAlign w:val="bottom"/>
            <w:vMerge w:val="restart"/>
            <w:shd w:val="clear" w:color="auto" w:fill="E7E7E2"/>
          </w:tcPr>
          <w:p>
            <w:pPr>
              <w:ind w:left="20"/>
              <w:spacing w:after="0"/>
              <w:rPr>
                <w:sz w:val="20"/>
                <w:szCs w:val="20"/>
                <w:color w:val="auto"/>
              </w:rPr>
            </w:pPr>
            <w:r>
              <w:rPr>
                <w:rFonts w:ascii="Arial" w:cs="Arial" w:eastAsia="Arial" w:hAnsi="Arial"/>
                <w:sz w:val="16"/>
                <w:szCs w:val="16"/>
                <w:color w:val="auto"/>
              </w:rPr>
              <w:t>(Universal)</w:t>
            </w:r>
          </w:p>
        </w:tc>
        <w:tc>
          <w:tcPr>
            <w:tcW w:w="20" w:type="dxa"/>
            <w:vAlign w:val="bottom"/>
          </w:tcPr>
          <w:p>
            <w:pPr>
              <w:spacing w:after="0"/>
              <w:rPr>
                <w:sz w:val="7"/>
                <w:szCs w:val="7"/>
                <w:color w:val="auto"/>
              </w:rPr>
            </w:pPr>
          </w:p>
        </w:tc>
        <w:tc>
          <w:tcPr>
            <w:tcW w:w="8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vMerge w:val="restart"/>
            <w:shd w:val="clear" w:color="auto" w:fill="E7E7E2"/>
          </w:tcPr>
          <w:p>
            <w:pPr>
              <w:jc w:val="center"/>
              <w:ind w:left="19"/>
              <w:spacing w:after="0"/>
              <w:rPr>
                <w:sz w:val="20"/>
                <w:szCs w:val="20"/>
                <w:color w:val="auto"/>
              </w:rPr>
            </w:pPr>
            <w:r>
              <w:rPr>
                <w:rFonts w:ascii="Arial" w:cs="Arial" w:eastAsia="Arial" w:hAnsi="Arial"/>
                <w:sz w:val="16"/>
                <w:szCs w:val="16"/>
                <w:color w:val="auto"/>
                <w:w w:val="99"/>
              </w:rPr>
              <w:t>457(o)</w:t>
            </w:r>
          </w:p>
        </w:tc>
        <w:tc>
          <w:tcPr>
            <w:tcW w:w="1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14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0.0001381</w:t>
            </w:r>
          </w:p>
        </w:tc>
        <w:tc>
          <w:tcPr>
            <w:tcW w:w="20" w:type="dxa"/>
            <w:vAlign w:val="bottom"/>
          </w:tcPr>
          <w:p>
            <w:pPr>
              <w:spacing w:after="0"/>
              <w:rPr>
                <w:sz w:val="7"/>
                <w:szCs w:val="7"/>
                <w:color w:val="auto"/>
              </w:rPr>
            </w:pPr>
          </w:p>
        </w:tc>
        <w:tc>
          <w:tcPr>
            <w:tcW w:w="96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$ 27,620.00</w:t>
            </w:r>
          </w:p>
        </w:tc>
        <w:tc>
          <w:tcPr>
            <w:tcW w:w="20" w:type="dxa"/>
            <w:vAlign w:val="bottom"/>
          </w:tcPr>
          <w:p>
            <w:pPr>
              <w:spacing w:after="0"/>
              <w:rPr>
                <w:sz w:val="7"/>
                <w:szCs w:val="7"/>
                <w:color w:val="auto"/>
              </w:rPr>
            </w:pPr>
          </w:p>
        </w:tc>
        <w:tc>
          <w:tcPr>
            <w:tcW w:w="6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4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shd w:val="clear" w:color="auto" w:fill="E7E7E2"/>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760" w:type="dxa"/>
            <w:vAlign w:val="bottom"/>
            <w:shd w:val="clear" w:color="auto" w:fill="E7E7E2"/>
          </w:tcPr>
          <w:p>
            <w:pPr>
              <w:spacing w:after="0" w:line="162" w:lineRule="exact"/>
              <w:rPr>
                <w:sz w:val="20"/>
                <w:szCs w:val="20"/>
                <w:color w:val="auto"/>
              </w:rPr>
            </w:pPr>
            <w:r>
              <w:rPr>
                <w:rFonts w:ascii="Arial" w:cs="Arial" w:eastAsia="Arial" w:hAnsi="Arial"/>
                <w:sz w:val="16"/>
                <w:szCs w:val="16"/>
                <w:color w:val="auto"/>
              </w:rPr>
              <w:t>be Paid</w:t>
            </w:r>
          </w:p>
        </w:tc>
        <w:tc>
          <w:tcPr>
            <w:tcW w:w="20" w:type="dxa"/>
            <w:vAlign w:val="bottom"/>
          </w:tcPr>
          <w:p>
            <w:pPr>
              <w:spacing w:after="0"/>
              <w:rPr>
                <w:sz w:val="14"/>
                <w:szCs w:val="14"/>
                <w:color w:val="auto"/>
              </w:rPr>
            </w:pPr>
          </w:p>
        </w:tc>
        <w:tc>
          <w:tcPr>
            <w:tcW w:w="1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vMerge w:val="continue"/>
            <w:shd w:val="clear" w:color="auto" w:fill="E7E7E2"/>
          </w:tcPr>
          <w:p>
            <w:pPr>
              <w:spacing w:after="0"/>
              <w:rPr>
                <w:sz w:val="14"/>
                <w:szCs w:val="14"/>
                <w:color w:val="auto"/>
              </w:rPr>
            </w:pPr>
          </w:p>
        </w:tc>
        <w:tc>
          <w:tcPr>
            <w:tcW w:w="1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shd w:val="clear" w:color="auto" w:fill="E7E7E2"/>
          </w:tcPr>
          <w:p>
            <w:pPr>
              <w:jc w:val="right"/>
              <w:spacing w:after="0" w:line="162" w:lineRule="exact"/>
              <w:rPr>
                <w:sz w:val="20"/>
                <w:szCs w:val="20"/>
                <w:color w:val="auto"/>
              </w:rPr>
            </w:pPr>
            <w:r>
              <w:rPr>
                <w:rFonts w:ascii="Arial" w:cs="Arial" w:eastAsia="Arial" w:hAnsi="Arial"/>
                <w:sz w:val="16"/>
                <w:szCs w:val="16"/>
                <w:color w:val="auto"/>
              </w:rPr>
              <w:t>200,000,000.00</w:t>
            </w:r>
          </w:p>
        </w:tc>
        <w:tc>
          <w:tcPr>
            <w:tcW w:w="20" w:type="dxa"/>
            <w:vAlign w:val="bottom"/>
          </w:tcPr>
          <w:p>
            <w:pPr>
              <w:spacing w:after="0"/>
              <w:rPr>
                <w:sz w:val="14"/>
                <w:szCs w:val="14"/>
                <w:color w:val="auto"/>
              </w:rPr>
            </w:pPr>
          </w:p>
        </w:tc>
        <w:tc>
          <w:tcPr>
            <w:tcW w:w="8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7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shd w:val="clear" w:color="auto" w:fill="E7E7E2"/>
          </w:tcPr>
          <w:p>
            <w:pPr>
              <w:ind w:left="20"/>
              <w:spacing w:after="0" w:line="142" w:lineRule="exact"/>
              <w:rPr>
                <w:sz w:val="20"/>
                <w:szCs w:val="20"/>
                <w:color w:val="auto"/>
              </w:rPr>
            </w:pPr>
            <w:r>
              <w:rPr>
                <w:rFonts w:ascii="Arial" w:cs="Arial" w:eastAsia="Arial" w:hAnsi="Arial"/>
                <w:sz w:val="16"/>
                <w:szCs w:val="16"/>
                <w:color w:val="auto"/>
              </w:rPr>
              <w:t>Shelf</w:t>
            </w:r>
          </w:p>
        </w:tc>
        <w:tc>
          <w:tcPr>
            <w:tcW w:w="20" w:type="dxa"/>
            <w:vAlign w:val="bottom"/>
          </w:tcPr>
          <w:p>
            <w:pPr>
              <w:spacing w:after="0"/>
              <w:rPr>
                <w:sz w:val="12"/>
                <w:szCs w:val="12"/>
                <w:color w:val="auto"/>
              </w:rPr>
            </w:pPr>
          </w:p>
        </w:tc>
        <w:tc>
          <w:tcPr>
            <w:tcW w:w="80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shd w:val="clear" w:color="auto" w:fill="E7E7E2"/>
          </w:tcPr>
          <w:p>
            <w:pPr>
              <w:spacing w:after="0"/>
              <w:rPr>
                <w:sz w:val="12"/>
                <w:szCs w:val="12"/>
                <w:color w:val="auto"/>
              </w:rPr>
            </w:pPr>
          </w:p>
        </w:tc>
        <w:tc>
          <w:tcPr>
            <w:tcW w:w="10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shd w:val="clear" w:color="auto" w:fill="E7E7E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760" w:type="dxa"/>
            <w:vAlign w:val="bottom"/>
            <w:shd w:val="clear" w:color="auto" w:fill="E7E7E2"/>
          </w:tcPr>
          <w:p>
            <w:pPr>
              <w:spacing w:after="0" w:line="171" w:lineRule="exact"/>
              <w:rPr>
                <w:sz w:val="20"/>
                <w:szCs w:val="20"/>
                <w:color w:val="auto"/>
              </w:rPr>
            </w:pPr>
            <w:r>
              <w:rPr>
                <w:rFonts w:ascii="Arial" w:cs="Arial" w:eastAsia="Arial" w:hAnsi="Arial"/>
                <w:sz w:val="16"/>
                <w:szCs w:val="16"/>
                <w:color w:val="auto"/>
              </w:rPr>
              <w:t>Fees</w:t>
            </w:r>
          </w:p>
        </w:tc>
        <w:tc>
          <w:tcPr>
            <w:tcW w:w="20" w:type="dxa"/>
            <w:vAlign w:val="bottom"/>
          </w:tcPr>
          <w:p>
            <w:pPr>
              <w:spacing w:after="0"/>
              <w:rPr>
                <w:sz w:val="14"/>
                <w:szCs w:val="14"/>
                <w:color w:val="auto"/>
              </w:rPr>
            </w:pPr>
          </w:p>
        </w:tc>
        <w:tc>
          <w:tcPr>
            <w:tcW w:w="1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shd w:val="clear" w:color="auto" w:fill="E7E7E2"/>
          </w:tcPr>
          <w:p>
            <w:pPr>
              <w:spacing w:after="0"/>
              <w:rPr>
                <w:sz w:val="14"/>
                <w:szCs w:val="14"/>
                <w:color w:val="auto"/>
              </w:rPr>
            </w:pPr>
          </w:p>
        </w:tc>
        <w:tc>
          <w:tcPr>
            <w:tcW w:w="1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760" w:type="dxa"/>
            <w:vAlign w:val="bottom"/>
            <w:shd w:val="clear" w:color="auto" w:fill="E7E7E2"/>
          </w:tcPr>
          <w:p>
            <w:pPr>
              <w:spacing w:after="0" w:line="181" w:lineRule="exact"/>
              <w:rPr>
                <w:sz w:val="20"/>
                <w:szCs w:val="20"/>
                <w:color w:val="auto"/>
              </w:rPr>
            </w:pPr>
            <w:r>
              <w:rPr>
                <w:rFonts w:ascii="Arial" w:cs="Arial" w:eastAsia="Arial" w:hAnsi="Arial"/>
                <w:sz w:val="16"/>
                <w:szCs w:val="16"/>
                <w:color w:val="auto"/>
              </w:rPr>
              <w:t>Previously</w:t>
            </w:r>
          </w:p>
        </w:tc>
        <w:tc>
          <w:tcPr>
            <w:tcW w:w="20" w:type="dxa"/>
            <w:vAlign w:val="bottom"/>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760" w:type="dxa"/>
            <w:vAlign w:val="bottom"/>
            <w:shd w:val="clear" w:color="auto" w:fill="E7E7E2"/>
          </w:tcPr>
          <w:p>
            <w:pPr>
              <w:spacing w:after="0"/>
              <w:rPr>
                <w:sz w:val="20"/>
                <w:szCs w:val="20"/>
                <w:color w:val="auto"/>
              </w:rPr>
            </w:pPr>
            <w:r>
              <w:rPr>
                <w:rFonts w:ascii="Arial" w:cs="Arial" w:eastAsia="Arial" w:hAnsi="Arial"/>
                <w:sz w:val="16"/>
                <w:szCs w:val="16"/>
                <w:color w:val="auto"/>
              </w:rPr>
              <w:t>Paid</w:t>
            </w:r>
          </w:p>
        </w:tc>
        <w:tc>
          <w:tcPr>
            <w:tcW w:w="20" w:type="dxa"/>
            <w:vAlign w:val="bottom"/>
          </w:tcPr>
          <w:p>
            <w:pPr>
              <w:spacing w:after="0"/>
              <w:rPr>
                <w:sz w:val="18"/>
                <w:szCs w:val="18"/>
                <w:color w:val="auto"/>
              </w:rPr>
            </w:pPr>
          </w:p>
        </w:tc>
        <w:tc>
          <w:tcPr>
            <w:tcW w:w="1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shd w:val="clear" w:color="auto" w:fill="E7E7E2"/>
          </w:tcPr>
          <w:p>
            <w:pPr>
              <w:spacing w:after="0"/>
              <w:rPr>
                <w:sz w:val="18"/>
                <w:szCs w:val="18"/>
                <w:color w:val="auto"/>
              </w:rPr>
            </w:pPr>
          </w:p>
        </w:tc>
        <w:tc>
          <w:tcPr>
            <w:tcW w:w="1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740" w:type="dxa"/>
            <w:vAlign w:val="bottom"/>
            <w:gridSpan w:val="5"/>
          </w:tcPr>
          <w:p>
            <w:pPr>
              <w:jc w:val="right"/>
              <w:ind w:right="479"/>
              <w:spacing w:after="0"/>
              <w:rPr>
                <w:sz w:val="20"/>
                <w:szCs w:val="20"/>
                <w:color w:val="auto"/>
              </w:rPr>
            </w:pPr>
            <w:r>
              <w:rPr>
                <w:rFonts w:ascii="Arial" w:cs="Arial" w:eastAsia="Arial" w:hAnsi="Arial"/>
                <w:sz w:val="16"/>
                <w:szCs w:val="16"/>
                <w:b w:val="1"/>
                <w:bCs w:val="1"/>
                <w:color w:val="auto"/>
              </w:rPr>
              <w:t>Carry Forward Securities</w:t>
            </w:r>
          </w:p>
        </w:tc>
        <w:tc>
          <w:tcPr>
            <w:tcW w:w="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ind w:left="20"/>
              <w:spacing w:after="0" w:line="176" w:lineRule="exact"/>
              <w:rPr>
                <w:sz w:val="20"/>
                <w:szCs w:val="20"/>
                <w:color w:val="auto"/>
              </w:rPr>
            </w:pPr>
            <w:r>
              <w:rPr>
                <w:rFonts w:ascii="Arial" w:cs="Arial" w:eastAsia="Arial" w:hAnsi="Arial"/>
                <w:sz w:val="16"/>
                <w:szCs w:val="16"/>
                <w:color w:val="auto"/>
              </w:rPr>
              <w:t>Class A</w:t>
            </w: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76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Carry</w:t>
            </w:r>
          </w:p>
        </w:tc>
        <w:tc>
          <w:tcPr>
            <w:tcW w:w="20" w:type="dxa"/>
            <w:vAlign w:val="bottom"/>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ind w:left="20"/>
              <w:spacing w:after="0" w:line="181" w:lineRule="exact"/>
              <w:rPr>
                <w:sz w:val="20"/>
                <w:szCs w:val="20"/>
                <w:color w:val="auto"/>
              </w:rPr>
            </w:pPr>
            <w:r>
              <w:rPr>
                <w:rFonts w:ascii="Arial" w:cs="Arial" w:eastAsia="Arial" w:hAnsi="Arial"/>
                <w:sz w:val="16"/>
                <w:szCs w:val="16"/>
                <w:color w:val="auto"/>
              </w:rPr>
              <w:t>Common</w:t>
            </w: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91"/>
        </w:trPr>
        <w:tc>
          <w:tcPr>
            <w:tcW w:w="76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vMerge w:val="restart"/>
            <w:shd w:val="clear" w:color="auto" w:fill="E7E7E2"/>
          </w:tcPr>
          <w:p>
            <w:pPr>
              <w:ind w:left="20"/>
              <w:spacing w:after="0" w:line="181" w:lineRule="exact"/>
              <w:rPr>
                <w:sz w:val="20"/>
                <w:szCs w:val="20"/>
                <w:color w:val="auto"/>
              </w:rPr>
            </w:pPr>
            <w:r>
              <w:rPr>
                <w:rFonts w:ascii="Arial" w:cs="Arial" w:eastAsia="Arial" w:hAnsi="Arial"/>
                <w:sz w:val="16"/>
                <w:szCs w:val="16"/>
                <w:color w:val="auto"/>
              </w:rPr>
              <w:t>Stock, par</w:t>
            </w:r>
          </w:p>
        </w:tc>
        <w:tc>
          <w:tcPr>
            <w:tcW w:w="20" w:type="dxa"/>
            <w:vAlign w:val="bottom"/>
          </w:tcPr>
          <w:p>
            <w:pPr>
              <w:spacing w:after="0"/>
              <w:rPr>
                <w:sz w:val="7"/>
                <w:szCs w:val="7"/>
                <w:color w:val="auto"/>
              </w:rPr>
            </w:pPr>
          </w:p>
        </w:tc>
        <w:tc>
          <w:tcPr>
            <w:tcW w:w="800" w:type="dxa"/>
            <w:vAlign w:val="bottom"/>
            <w:shd w:val="clear" w:color="auto" w:fill="E7E7E2"/>
          </w:tcPr>
          <w:p>
            <w:pPr>
              <w:spacing w:after="0"/>
              <w:rPr>
                <w:sz w:val="7"/>
                <w:szCs w:val="7"/>
                <w:color w:val="auto"/>
              </w:rPr>
            </w:pPr>
          </w:p>
        </w:tc>
        <w:tc>
          <w:tcPr>
            <w:tcW w:w="1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14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vMerge w:val="restart"/>
            <w:shd w:val="clear" w:color="auto" w:fill="E7E7E2"/>
          </w:tcPr>
          <w:p>
            <w:pPr>
              <w:jc w:val="center"/>
              <w:spacing w:after="0" w:line="181" w:lineRule="exact"/>
              <w:rPr>
                <w:sz w:val="20"/>
                <w:szCs w:val="20"/>
                <w:color w:val="auto"/>
              </w:rPr>
            </w:pPr>
            <w:r>
              <w:rPr>
                <w:rFonts w:ascii="Arial" w:cs="Arial" w:eastAsia="Arial" w:hAnsi="Arial"/>
                <w:sz w:val="16"/>
                <w:szCs w:val="16"/>
                <w:color w:val="auto"/>
                <w:w w:val="99"/>
              </w:rPr>
              <w:t>333-</w:t>
            </w:r>
          </w:p>
        </w:tc>
        <w:tc>
          <w:tcPr>
            <w:tcW w:w="20" w:type="dxa"/>
            <w:vAlign w:val="bottom"/>
          </w:tcPr>
          <w:p>
            <w:pPr>
              <w:spacing w:after="0"/>
              <w:rPr>
                <w:sz w:val="7"/>
                <w:szCs w:val="7"/>
                <w:color w:val="auto"/>
              </w:rPr>
            </w:pPr>
          </w:p>
        </w:tc>
        <w:tc>
          <w:tcPr>
            <w:tcW w:w="84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shd w:val="clear" w:color="auto" w:fill="E7E7E2"/>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76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Forward</w:t>
            </w:r>
          </w:p>
        </w:tc>
        <w:tc>
          <w:tcPr>
            <w:tcW w:w="20" w:type="dxa"/>
            <w:vAlign w:val="bottom"/>
          </w:tcPr>
          <w:p>
            <w:pPr>
              <w:spacing w:after="0"/>
              <w:rPr>
                <w:sz w:val="7"/>
                <w:szCs w:val="7"/>
                <w:color w:val="auto"/>
              </w:rPr>
            </w:pPr>
          </w:p>
        </w:tc>
        <w:tc>
          <w:tcPr>
            <w:tcW w:w="10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w w:val="89"/>
              </w:rPr>
              <w:t>2</w:t>
            </w:r>
          </w:p>
        </w:tc>
        <w:tc>
          <w:tcPr>
            <w:tcW w:w="20" w:type="dxa"/>
            <w:vAlign w:val="bottom"/>
          </w:tcPr>
          <w:p>
            <w:pPr>
              <w:spacing w:after="0"/>
              <w:rPr>
                <w:sz w:val="7"/>
                <w:szCs w:val="7"/>
                <w:color w:val="auto"/>
              </w:rPr>
            </w:pPr>
          </w:p>
        </w:tc>
        <w:tc>
          <w:tcPr>
            <w:tcW w:w="880" w:type="dxa"/>
            <w:vAlign w:val="bottom"/>
            <w:vMerge w:val="restart"/>
            <w:shd w:val="clear" w:color="auto" w:fill="E7E7E2"/>
          </w:tcPr>
          <w:p>
            <w:pPr>
              <w:ind w:left="20"/>
              <w:spacing w:after="0"/>
              <w:rPr>
                <w:sz w:val="20"/>
                <w:szCs w:val="20"/>
                <w:color w:val="auto"/>
              </w:rPr>
            </w:pPr>
            <w:r>
              <w:rPr>
                <w:rFonts w:ascii="Arial" w:cs="Arial" w:eastAsia="Arial" w:hAnsi="Arial"/>
                <w:sz w:val="16"/>
                <w:szCs w:val="16"/>
                <w:color w:val="auto"/>
              </w:rPr>
              <w:t>Equity</w:t>
            </w:r>
          </w:p>
        </w:tc>
        <w:tc>
          <w:tcPr>
            <w:tcW w:w="20" w:type="dxa"/>
            <w:vAlign w:val="bottom"/>
          </w:tcPr>
          <w:p>
            <w:pPr>
              <w:spacing w:after="0"/>
              <w:rPr>
                <w:sz w:val="7"/>
                <w:szCs w:val="7"/>
                <w:color w:val="auto"/>
              </w:rPr>
            </w:pPr>
          </w:p>
        </w:tc>
        <w:tc>
          <w:tcPr>
            <w:tcW w:w="80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vMerge w:val="restart"/>
            <w:shd w:val="clear" w:color="auto" w:fill="E7E7E2"/>
          </w:tcPr>
          <w:p>
            <w:pPr>
              <w:jc w:val="center"/>
              <w:ind w:left="19"/>
              <w:spacing w:after="0"/>
              <w:rPr>
                <w:sz w:val="20"/>
                <w:szCs w:val="20"/>
                <w:color w:val="auto"/>
              </w:rPr>
            </w:pPr>
            <w:r>
              <w:rPr>
                <w:rFonts w:ascii="Arial" w:cs="Arial" w:eastAsia="Arial" w:hAnsi="Arial"/>
                <w:sz w:val="16"/>
                <w:szCs w:val="16"/>
                <w:color w:val="auto"/>
              </w:rPr>
              <w:t>415(a)(6)</w:t>
            </w:r>
          </w:p>
        </w:tc>
        <w:tc>
          <w:tcPr>
            <w:tcW w:w="1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6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1,198,040</w:t>
            </w:r>
          </w:p>
        </w:tc>
        <w:tc>
          <w:tcPr>
            <w:tcW w:w="20" w:type="dxa"/>
            <w:vAlign w:val="bottom"/>
          </w:tcPr>
          <w:p>
            <w:pPr>
              <w:spacing w:after="0"/>
              <w:rPr>
                <w:sz w:val="7"/>
                <w:szCs w:val="7"/>
                <w:color w:val="auto"/>
              </w:rPr>
            </w:pPr>
          </w:p>
        </w:tc>
        <w:tc>
          <w:tcPr>
            <w:tcW w:w="7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14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$ 2,995,100.00</w:t>
            </w:r>
          </w:p>
        </w:tc>
        <w:tc>
          <w:tcPr>
            <w:tcW w:w="20" w:type="dxa"/>
            <w:vAlign w:val="bottom"/>
          </w:tcPr>
          <w:p>
            <w:pPr>
              <w:spacing w:after="0"/>
              <w:rPr>
                <w:sz w:val="7"/>
                <w:szCs w:val="7"/>
                <w:color w:val="auto"/>
              </w:rPr>
            </w:pPr>
          </w:p>
        </w:tc>
        <w:tc>
          <w:tcPr>
            <w:tcW w:w="8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vMerge w:val="restart"/>
            <w:shd w:val="clear" w:color="auto" w:fill="E7E7E2"/>
          </w:tcPr>
          <w:p>
            <w:pPr>
              <w:ind w:left="220"/>
              <w:spacing w:after="0"/>
              <w:rPr>
                <w:sz w:val="20"/>
                <w:szCs w:val="20"/>
                <w:color w:val="auto"/>
              </w:rPr>
            </w:pPr>
            <w:r>
              <w:rPr>
                <w:rFonts w:ascii="Arial" w:cs="Arial" w:eastAsia="Arial" w:hAnsi="Arial"/>
                <w:sz w:val="16"/>
                <w:szCs w:val="16"/>
                <w:color w:val="auto"/>
              </w:rPr>
              <w:t>S-3</w:t>
            </w:r>
          </w:p>
        </w:tc>
        <w:tc>
          <w:tcPr>
            <w:tcW w:w="20" w:type="dxa"/>
            <w:vAlign w:val="bottom"/>
          </w:tcPr>
          <w:p>
            <w:pPr>
              <w:spacing w:after="0"/>
              <w:rPr>
                <w:sz w:val="7"/>
                <w:szCs w:val="7"/>
                <w:color w:val="auto"/>
              </w:rPr>
            </w:pPr>
          </w:p>
        </w:tc>
        <w:tc>
          <w:tcPr>
            <w:tcW w:w="68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4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w w:val="99"/>
              </w:rPr>
              <w:t>10/27/2023</w:t>
            </w:r>
          </w:p>
        </w:tc>
        <w:tc>
          <w:tcPr>
            <w:tcW w:w="20" w:type="dxa"/>
            <w:vAlign w:val="bottom"/>
          </w:tcPr>
          <w:p>
            <w:pPr>
              <w:spacing w:after="0"/>
              <w:rPr>
                <w:sz w:val="7"/>
                <w:szCs w:val="7"/>
                <w:color w:val="auto"/>
              </w:rPr>
            </w:pPr>
          </w:p>
        </w:tc>
        <w:tc>
          <w:tcPr>
            <w:tcW w:w="90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$ 442.08</w:t>
            </w:r>
          </w:p>
        </w:tc>
        <w:tc>
          <w:tcPr>
            <w:tcW w:w="0" w:type="dxa"/>
            <w:vAlign w:val="bottom"/>
          </w:tcPr>
          <w:p>
            <w:pPr>
              <w:spacing w:after="0"/>
              <w:rPr>
                <w:sz w:val="1"/>
                <w:szCs w:val="1"/>
                <w:color w:val="auto"/>
              </w:rPr>
            </w:pPr>
          </w:p>
        </w:tc>
      </w:tr>
      <w:tr>
        <w:trPr>
          <w:trHeight w:val="107"/>
        </w:trPr>
        <w:tc>
          <w:tcPr>
            <w:tcW w:w="760" w:type="dxa"/>
            <w:vAlign w:val="bottom"/>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880" w:type="dxa"/>
            <w:vAlign w:val="bottom"/>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shd w:val="clear" w:color="auto" w:fill="E7E7E2"/>
          </w:tcPr>
          <w:p>
            <w:pPr>
              <w:ind w:left="20"/>
              <w:spacing w:after="0" w:line="107" w:lineRule="exact"/>
              <w:rPr>
                <w:sz w:val="20"/>
                <w:szCs w:val="20"/>
                <w:color w:val="auto"/>
              </w:rPr>
            </w:pPr>
            <w:r>
              <w:rPr>
                <w:rFonts w:ascii="Arial" w:cs="Arial" w:eastAsia="Arial" w:hAnsi="Arial"/>
                <w:sz w:val="12"/>
                <w:szCs w:val="12"/>
                <w:color w:val="auto"/>
              </w:rPr>
              <w:t>value</w:t>
            </w:r>
          </w:p>
        </w:tc>
        <w:tc>
          <w:tcPr>
            <w:tcW w:w="20" w:type="dxa"/>
            <w:vAlign w:val="bottom"/>
          </w:tcPr>
          <w:p>
            <w:pPr>
              <w:spacing w:after="0"/>
              <w:rPr>
                <w:sz w:val="9"/>
                <w:szCs w:val="9"/>
                <w:color w:val="auto"/>
              </w:rPr>
            </w:pPr>
          </w:p>
        </w:tc>
        <w:tc>
          <w:tcPr>
            <w:tcW w:w="800" w:type="dxa"/>
            <w:vAlign w:val="bottom"/>
            <w:vMerge w:val="continue"/>
            <w:shd w:val="clear" w:color="auto" w:fill="E7E7E2"/>
          </w:tcPr>
          <w:p>
            <w:pPr>
              <w:spacing w:after="0"/>
              <w:rPr>
                <w:sz w:val="9"/>
                <w:szCs w:val="9"/>
                <w:color w:val="auto"/>
              </w:rPr>
            </w:pPr>
          </w:p>
        </w:tc>
        <w:tc>
          <w:tcPr>
            <w:tcW w:w="10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860" w:type="dxa"/>
            <w:vAlign w:val="bottom"/>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76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1140" w:type="dxa"/>
            <w:vAlign w:val="bottom"/>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96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shd w:val="clear" w:color="auto" w:fill="E7E7E2"/>
          </w:tcPr>
          <w:p>
            <w:pPr>
              <w:jc w:val="center"/>
              <w:spacing w:after="0" w:line="107" w:lineRule="exact"/>
              <w:rPr>
                <w:sz w:val="20"/>
                <w:szCs w:val="20"/>
                <w:color w:val="auto"/>
              </w:rPr>
            </w:pPr>
            <w:r>
              <w:rPr>
                <w:rFonts w:ascii="Arial" w:cs="Arial" w:eastAsia="Arial" w:hAnsi="Arial"/>
                <w:sz w:val="12"/>
                <w:szCs w:val="12"/>
                <w:color w:val="auto"/>
              </w:rPr>
              <w:t>273062</w:t>
            </w:r>
          </w:p>
        </w:tc>
        <w:tc>
          <w:tcPr>
            <w:tcW w:w="20" w:type="dxa"/>
            <w:vAlign w:val="bottom"/>
          </w:tcPr>
          <w:p>
            <w:pPr>
              <w:spacing w:after="0"/>
              <w:rPr>
                <w:sz w:val="9"/>
                <w:szCs w:val="9"/>
                <w:color w:val="auto"/>
              </w:rPr>
            </w:pPr>
          </w:p>
        </w:tc>
        <w:tc>
          <w:tcPr>
            <w:tcW w:w="840" w:type="dxa"/>
            <w:vAlign w:val="bottom"/>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vMerge w:val="continue"/>
            <w:shd w:val="clear" w:color="auto" w:fill="E7E7E2"/>
          </w:tcPr>
          <w:p>
            <w:pPr>
              <w:spacing w:after="0"/>
              <w:rPr>
                <w:sz w:val="9"/>
                <w:szCs w:val="9"/>
                <w:color w:val="auto"/>
              </w:rPr>
            </w:pPr>
          </w:p>
        </w:tc>
        <w:tc>
          <w:tcPr>
            <w:tcW w:w="0" w:type="dxa"/>
            <w:vAlign w:val="bottom"/>
          </w:tcPr>
          <w:p>
            <w:pPr>
              <w:spacing w:after="0"/>
              <w:rPr>
                <w:sz w:val="1"/>
                <w:szCs w:val="1"/>
                <w:color w:val="auto"/>
              </w:rPr>
            </w:pPr>
          </w:p>
        </w:tc>
      </w:tr>
      <w:tr>
        <w:trPr>
          <w:trHeight w:val="214"/>
        </w:trPr>
        <w:tc>
          <w:tcPr>
            <w:tcW w:w="760" w:type="dxa"/>
            <w:vAlign w:val="bottom"/>
            <w:shd w:val="clear" w:color="auto" w:fill="E7E7E2"/>
          </w:tcPr>
          <w:p>
            <w:pPr>
              <w:spacing w:after="0"/>
              <w:rPr>
                <w:sz w:val="20"/>
                <w:szCs w:val="20"/>
                <w:color w:val="auto"/>
              </w:rPr>
            </w:pPr>
            <w:r>
              <w:rPr>
                <w:rFonts w:ascii="Arial" w:cs="Arial" w:eastAsia="Arial" w:hAnsi="Arial"/>
                <w:sz w:val="16"/>
                <w:szCs w:val="16"/>
                <w:color w:val="auto"/>
              </w:rPr>
              <w:t>Securities</w:t>
            </w:r>
          </w:p>
        </w:tc>
        <w:tc>
          <w:tcPr>
            <w:tcW w:w="20" w:type="dxa"/>
            <w:vAlign w:val="bottom"/>
          </w:tcPr>
          <w:p>
            <w:pPr>
              <w:spacing w:after="0"/>
              <w:rPr>
                <w:sz w:val="18"/>
                <w:szCs w:val="18"/>
                <w:color w:val="auto"/>
              </w:rPr>
            </w:pPr>
          </w:p>
        </w:tc>
        <w:tc>
          <w:tcPr>
            <w:tcW w:w="1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vMerge w:val="restart"/>
            <w:shd w:val="clear" w:color="auto" w:fill="E7E7E2"/>
          </w:tcPr>
          <w:p>
            <w:pPr>
              <w:ind w:left="20"/>
              <w:spacing w:after="0"/>
              <w:rPr>
                <w:sz w:val="20"/>
                <w:szCs w:val="20"/>
                <w:color w:val="auto"/>
              </w:rPr>
            </w:pPr>
            <w:r>
              <w:rPr>
                <w:rFonts w:ascii="Arial" w:cs="Arial" w:eastAsia="Arial" w:hAnsi="Arial"/>
                <w:sz w:val="16"/>
                <w:szCs w:val="16"/>
                <w:color w:val="auto"/>
                <w:w w:val="99"/>
              </w:rPr>
              <w:t>$0.001 per</w:t>
            </w:r>
          </w:p>
        </w:tc>
        <w:tc>
          <w:tcPr>
            <w:tcW w:w="20" w:type="dxa"/>
            <w:vAlign w:val="bottom"/>
          </w:tcPr>
          <w:p>
            <w:pPr>
              <w:spacing w:after="0"/>
              <w:rPr>
                <w:sz w:val="18"/>
                <w:szCs w:val="18"/>
                <w:color w:val="auto"/>
              </w:rPr>
            </w:pPr>
          </w:p>
        </w:tc>
        <w:tc>
          <w:tcPr>
            <w:tcW w:w="800" w:type="dxa"/>
            <w:vAlign w:val="bottom"/>
            <w:shd w:val="clear" w:color="auto" w:fill="E7E7E2"/>
          </w:tcPr>
          <w:p>
            <w:pPr>
              <w:spacing w:after="0"/>
              <w:rPr>
                <w:sz w:val="18"/>
                <w:szCs w:val="18"/>
                <w:color w:val="auto"/>
              </w:rPr>
            </w:pPr>
          </w:p>
        </w:tc>
        <w:tc>
          <w:tcPr>
            <w:tcW w:w="1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42"/>
        </w:trPr>
        <w:tc>
          <w:tcPr>
            <w:tcW w:w="760" w:type="dxa"/>
            <w:vAlign w:val="bottom"/>
            <w:shd w:val="clear" w:color="auto" w:fill="E7E7E2"/>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shd w:val="clear" w:color="auto" w:fill="E7E7E2"/>
          </w:tcPr>
          <w:p>
            <w:pPr>
              <w:spacing w:after="0"/>
              <w:rPr>
                <w:sz w:val="3"/>
                <w:szCs w:val="3"/>
                <w:color w:val="auto"/>
              </w:rPr>
            </w:pPr>
          </w:p>
        </w:tc>
        <w:tc>
          <w:tcPr>
            <w:tcW w:w="20" w:type="dxa"/>
            <w:vAlign w:val="bottom"/>
          </w:tcPr>
          <w:p>
            <w:pPr>
              <w:spacing w:after="0"/>
              <w:rPr>
                <w:sz w:val="3"/>
                <w:szCs w:val="3"/>
                <w:color w:val="auto"/>
              </w:rPr>
            </w:pPr>
          </w:p>
        </w:tc>
        <w:tc>
          <w:tcPr>
            <w:tcW w:w="880" w:type="dxa"/>
            <w:vAlign w:val="bottom"/>
            <w:shd w:val="clear" w:color="auto" w:fill="E7E7E2"/>
          </w:tcPr>
          <w:p>
            <w:pPr>
              <w:spacing w:after="0"/>
              <w:rPr>
                <w:sz w:val="3"/>
                <w:szCs w:val="3"/>
                <w:color w:val="auto"/>
              </w:rPr>
            </w:pPr>
          </w:p>
        </w:tc>
        <w:tc>
          <w:tcPr>
            <w:tcW w:w="20" w:type="dxa"/>
            <w:vAlign w:val="bottom"/>
          </w:tcPr>
          <w:p>
            <w:pPr>
              <w:spacing w:after="0"/>
              <w:rPr>
                <w:sz w:val="3"/>
                <w:szCs w:val="3"/>
                <w:color w:val="auto"/>
              </w:rPr>
            </w:pPr>
          </w:p>
        </w:tc>
        <w:tc>
          <w:tcPr>
            <w:tcW w:w="800" w:type="dxa"/>
            <w:vAlign w:val="bottom"/>
            <w:vMerge w:val="continue"/>
            <w:shd w:val="clear" w:color="auto" w:fill="E7E7E2"/>
          </w:tcPr>
          <w:p>
            <w:pPr>
              <w:spacing w:after="0"/>
              <w:rPr>
                <w:sz w:val="3"/>
                <w:szCs w:val="3"/>
                <w:color w:val="auto"/>
              </w:rPr>
            </w:pPr>
          </w:p>
        </w:tc>
        <w:tc>
          <w:tcPr>
            <w:tcW w:w="20" w:type="dxa"/>
            <w:vAlign w:val="bottom"/>
          </w:tcPr>
          <w:p>
            <w:pPr>
              <w:spacing w:after="0"/>
              <w:rPr>
                <w:sz w:val="3"/>
                <w:szCs w:val="3"/>
                <w:color w:val="auto"/>
              </w:rPr>
            </w:pPr>
          </w:p>
        </w:tc>
        <w:tc>
          <w:tcPr>
            <w:tcW w:w="800" w:type="dxa"/>
            <w:vAlign w:val="bottom"/>
            <w:shd w:val="clear" w:color="auto" w:fill="E7E7E2"/>
          </w:tcPr>
          <w:p>
            <w:pPr>
              <w:spacing w:after="0"/>
              <w:rPr>
                <w:sz w:val="3"/>
                <w:szCs w:val="3"/>
                <w:color w:val="auto"/>
              </w:rPr>
            </w:pPr>
          </w:p>
        </w:tc>
        <w:tc>
          <w:tcPr>
            <w:tcW w:w="100" w:type="dxa"/>
            <w:vAlign w:val="bottom"/>
            <w:shd w:val="clear" w:color="auto" w:fill="E7E7E2"/>
          </w:tcPr>
          <w:p>
            <w:pPr>
              <w:spacing w:after="0"/>
              <w:rPr>
                <w:sz w:val="3"/>
                <w:szCs w:val="3"/>
                <w:color w:val="auto"/>
              </w:rPr>
            </w:pPr>
          </w:p>
        </w:tc>
        <w:tc>
          <w:tcPr>
            <w:tcW w:w="20" w:type="dxa"/>
            <w:vAlign w:val="bottom"/>
          </w:tcPr>
          <w:p>
            <w:pPr>
              <w:spacing w:after="0"/>
              <w:rPr>
                <w:sz w:val="3"/>
                <w:szCs w:val="3"/>
                <w:color w:val="auto"/>
              </w:rPr>
            </w:pPr>
          </w:p>
        </w:tc>
        <w:tc>
          <w:tcPr>
            <w:tcW w:w="860" w:type="dxa"/>
            <w:vAlign w:val="bottom"/>
            <w:shd w:val="clear" w:color="auto" w:fill="E7E7E2"/>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shd w:val="clear" w:color="auto" w:fill="E7E7E2"/>
          </w:tcPr>
          <w:p>
            <w:pPr>
              <w:spacing w:after="0"/>
              <w:rPr>
                <w:sz w:val="3"/>
                <w:szCs w:val="3"/>
                <w:color w:val="auto"/>
              </w:rPr>
            </w:pPr>
          </w:p>
        </w:tc>
        <w:tc>
          <w:tcPr>
            <w:tcW w:w="20" w:type="dxa"/>
            <w:vAlign w:val="bottom"/>
          </w:tcPr>
          <w:p>
            <w:pPr>
              <w:spacing w:after="0"/>
              <w:rPr>
                <w:sz w:val="3"/>
                <w:szCs w:val="3"/>
                <w:color w:val="auto"/>
              </w:rPr>
            </w:pPr>
          </w:p>
        </w:tc>
        <w:tc>
          <w:tcPr>
            <w:tcW w:w="1140" w:type="dxa"/>
            <w:vAlign w:val="bottom"/>
            <w:shd w:val="clear" w:color="auto" w:fill="E7E7E2"/>
          </w:tcPr>
          <w:p>
            <w:pPr>
              <w:spacing w:after="0"/>
              <w:rPr>
                <w:sz w:val="3"/>
                <w:szCs w:val="3"/>
                <w:color w:val="auto"/>
              </w:rPr>
            </w:pPr>
          </w:p>
        </w:tc>
        <w:tc>
          <w:tcPr>
            <w:tcW w:w="20" w:type="dxa"/>
            <w:vAlign w:val="bottom"/>
          </w:tcPr>
          <w:p>
            <w:pPr>
              <w:spacing w:after="0"/>
              <w:rPr>
                <w:sz w:val="3"/>
                <w:szCs w:val="3"/>
                <w:color w:val="auto"/>
              </w:rPr>
            </w:pPr>
          </w:p>
        </w:tc>
        <w:tc>
          <w:tcPr>
            <w:tcW w:w="800" w:type="dxa"/>
            <w:vAlign w:val="bottom"/>
            <w:shd w:val="clear" w:color="auto" w:fill="E7E7E2"/>
          </w:tcPr>
          <w:p>
            <w:pPr>
              <w:spacing w:after="0"/>
              <w:rPr>
                <w:sz w:val="3"/>
                <w:szCs w:val="3"/>
                <w:color w:val="auto"/>
              </w:rPr>
            </w:pPr>
          </w:p>
        </w:tc>
        <w:tc>
          <w:tcPr>
            <w:tcW w:w="20" w:type="dxa"/>
            <w:vAlign w:val="bottom"/>
          </w:tcPr>
          <w:p>
            <w:pPr>
              <w:spacing w:after="0"/>
              <w:rPr>
                <w:sz w:val="3"/>
                <w:szCs w:val="3"/>
                <w:color w:val="auto"/>
              </w:rPr>
            </w:pPr>
          </w:p>
        </w:tc>
        <w:tc>
          <w:tcPr>
            <w:tcW w:w="960" w:type="dxa"/>
            <w:vAlign w:val="bottom"/>
            <w:shd w:val="clear" w:color="auto" w:fill="E7E7E2"/>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shd w:val="clear" w:color="auto" w:fill="E7E7E2"/>
          </w:tcPr>
          <w:p>
            <w:pPr>
              <w:spacing w:after="0"/>
              <w:rPr>
                <w:sz w:val="3"/>
                <w:szCs w:val="3"/>
                <w:color w:val="auto"/>
              </w:rPr>
            </w:pPr>
          </w:p>
        </w:tc>
        <w:tc>
          <w:tcPr>
            <w:tcW w:w="20" w:type="dxa"/>
            <w:vAlign w:val="bottom"/>
          </w:tcPr>
          <w:p>
            <w:pPr>
              <w:spacing w:after="0"/>
              <w:rPr>
                <w:sz w:val="3"/>
                <w:szCs w:val="3"/>
                <w:color w:val="auto"/>
              </w:rPr>
            </w:pPr>
          </w:p>
        </w:tc>
        <w:tc>
          <w:tcPr>
            <w:tcW w:w="680" w:type="dxa"/>
            <w:vAlign w:val="bottom"/>
            <w:shd w:val="clear" w:color="auto" w:fill="E7E7E2"/>
          </w:tcPr>
          <w:p>
            <w:pPr>
              <w:spacing w:after="0"/>
              <w:rPr>
                <w:sz w:val="3"/>
                <w:szCs w:val="3"/>
                <w:color w:val="auto"/>
              </w:rPr>
            </w:pPr>
          </w:p>
        </w:tc>
        <w:tc>
          <w:tcPr>
            <w:tcW w:w="20" w:type="dxa"/>
            <w:vAlign w:val="bottom"/>
          </w:tcPr>
          <w:p>
            <w:pPr>
              <w:spacing w:after="0"/>
              <w:rPr>
                <w:sz w:val="3"/>
                <w:szCs w:val="3"/>
                <w:color w:val="auto"/>
              </w:rPr>
            </w:pPr>
          </w:p>
        </w:tc>
        <w:tc>
          <w:tcPr>
            <w:tcW w:w="840" w:type="dxa"/>
            <w:vAlign w:val="bottom"/>
            <w:shd w:val="clear" w:color="auto" w:fill="E7E7E2"/>
          </w:tcPr>
          <w:p>
            <w:pPr>
              <w:spacing w:after="0"/>
              <w:rPr>
                <w:sz w:val="3"/>
                <w:szCs w:val="3"/>
                <w:color w:val="auto"/>
              </w:rPr>
            </w:pPr>
          </w:p>
        </w:tc>
        <w:tc>
          <w:tcPr>
            <w:tcW w:w="20" w:type="dxa"/>
            <w:vAlign w:val="bottom"/>
          </w:tcPr>
          <w:p>
            <w:pPr>
              <w:spacing w:after="0"/>
              <w:rPr>
                <w:sz w:val="3"/>
                <w:szCs w:val="3"/>
                <w:color w:val="auto"/>
              </w:rPr>
            </w:pPr>
          </w:p>
        </w:tc>
        <w:tc>
          <w:tcPr>
            <w:tcW w:w="900" w:type="dxa"/>
            <w:vAlign w:val="bottom"/>
            <w:shd w:val="clear" w:color="auto" w:fill="E7E7E2"/>
          </w:tcPr>
          <w:p>
            <w:pPr>
              <w:spacing w:after="0"/>
              <w:rPr>
                <w:sz w:val="3"/>
                <w:szCs w:val="3"/>
                <w:color w:val="auto"/>
              </w:rPr>
            </w:pPr>
          </w:p>
        </w:tc>
        <w:tc>
          <w:tcPr>
            <w:tcW w:w="0" w:type="dxa"/>
            <w:vAlign w:val="bottom"/>
          </w:tcPr>
          <w:p>
            <w:pPr>
              <w:spacing w:after="0"/>
              <w:rPr>
                <w:sz w:val="1"/>
                <w:szCs w:val="1"/>
                <w:color w:val="auto"/>
              </w:rPr>
            </w:pPr>
          </w:p>
        </w:tc>
      </w:tr>
      <w:tr>
        <w:trPr>
          <w:trHeight w:val="212"/>
        </w:trPr>
        <w:tc>
          <w:tcPr>
            <w:tcW w:w="7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shd w:val="clear" w:color="auto" w:fill="E7E7E2"/>
          </w:tcPr>
          <w:p>
            <w:pPr>
              <w:ind w:left="20"/>
              <w:spacing w:after="0"/>
              <w:rPr>
                <w:sz w:val="20"/>
                <w:szCs w:val="20"/>
                <w:color w:val="auto"/>
              </w:rPr>
            </w:pPr>
            <w:r>
              <w:rPr>
                <w:rFonts w:ascii="Arial" w:cs="Arial" w:eastAsia="Arial" w:hAnsi="Arial"/>
                <w:sz w:val="16"/>
                <w:szCs w:val="16"/>
                <w:color w:val="auto"/>
              </w:rPr>
              <w:t>share</w:t>
            </w:r>
          </w:p>
        </w:tc>
        <w:tc>
          <w:tcPr>
            <w:tcW w:w="20" w:type="dxa"/>
            <w:vAlign w:val="bottom"/>
          </w:tcPr>
          <w:p>
            <w:pPr>
              <w:spacing w:after="0"/>
              <w:rPr>
                <w:sz w:val="18"/>
                <w:szCs w:val="18"/>
                <w:color w:val="auto"/>
              </w:rPr>
            </w:pPr>
          </w:p>
        </w:tc>
        <w:tc>
          <w:tcPr>
            <w:tcW w:w="800" w:type="dxa"/>
            <w:vAlign w:val="bottom"/>
            <w:shd w:val="clear" w:color="auto" w:fill="E7E7E2"/>
          </w:tcPr>
          <w:p>
            <w:pPr>
              <w:spacing w:after="0"/>
              <w:rPr>
                <w:sz w:val="18"/>
                <w:szCs w:val="18"/>
                <w:color w:val="auto"/>
              </w:rPr>
            </w:pPr>
          </w:p>
        </w:tc>
        <w:tc>
          <w:tcPr>
            <w:tcW w:w="1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7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shd w:val="clear" w:color="auto" w:fill="E7E7E2"/>
          </w:tcPr>
          <w:p>
            <w:pPr>
              <w:ind w:left="20"/>
              <w:spacing w:after="0" w:line="171" w:lineRule="exact"/>
              <w:rPr>
                <w:sz w:val="20"/>
                <w:szCs w:val="20"/>
                <w:color w:val="auto"/>
              </w:rPr>
            </w:pPr>
            <w:r>
              <w:rPr>
                <w:rFonts w:ascii="Arial" w:cs="Arial" w:eastAsia="Arial" w:hAnsi="Arial"/>
                <w:sz w:val="16"/>
                <w:szCs w:val="16"/>
                <w:color w:val="auto"/>
              </w:rPr>
              <w:t>Class A</w:t>
            </w:r>
          </w:p>
        </w:tc>
        <w:tc>
          <w:tcPr>
            <w:tcW w:w="20" w:type="dxa"/>
            <w:vAlign w:val="bottom"/>
          </w:tcPr>
          <w:p>
            <w:pPr>
              <w:spacing w:after="0"/>
              <w:rPr>
                <w:sz w:val="14"/>
                <w:szCs w:val="14"/>
                <w:color w:val="auto"/>
              </w:rPr>
            </w:pPr>
          </w:p>
        </w:tc>
        <w:tc>
          <w:tcPr>
            <w:tcW w:w="800" w:type="dxa"/>
            <w:vAlign w:val="bottom"/>
            <w:shd w:val="clear" w:color="auto" w:fill="E7E7E2"/>
          </w:tcPr>
          <w:p>
            <w:pPr>
              <w:spacing w:after="0"/>
              <w:rPr>
                <w:sz w:val="14"/>
                <w:szCs w:val="14"/>
                <w:color w:val="auto"/>
              </w:rPr>
            </w:pPr>
          </w:p>
        </w:tc>
        <w:tc>
          <w:tcPr>
            <w:tcW w:w="1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76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Carry</w:t>
            </w:r>
          </w:p>
        </w:tc>
        <w:tc>
          <w:tcPr>
            <w:tcW w:w="20" w:type="dxa"/>
            <w:vAlign w:val="bottom"/>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ind w:left="20"/>
              <w:spacing w:after="0" w:line="181" w:lineRule="exact"/>
              <w:rPr>
                <w:sz w:val="20"/>
                <w:szCs w:val="20"/>
                <w:color w:val="auto"/>
              </w:rPr>
            </w:pPr>
            <w:r>
              <w:rPr>
                <w:rFonts w:ascii="Arial" w:cs="Arial" w:eastAsia="Arial" w:hAnsi="Arial"/>
                <w:sz w:val="16"/>
                <w:szCs w:val="16"/>
                <w:color w:val="auto"/>
              </w:rPr>
              <w:t>Common</w:t>
            </w: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91"/>
        </w:trPr>
        <w:tc>
          <w:tcPr>
            <w:tcW w:w="76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vMerge w:val="restart"/>
            <w:shd w:val="clear" w:color="auto" w:fill="E7E7E2"/>
          </w:tcPr>
          <w:p>
            <w:pPr>
              <w:ind w:left="20"/>
              <w:spacing w:after="0" w:line="181" w:lineRule="exact"/>
              <w:rPr>
                <w:sz w:val="20"/>
                <w:szCs w:val="20"/>
                <w:color w:val="auto"/>
              </w:rPr>
            </w:pPr>
            <w:r>
              <w:rPr>
                <w:rFonts w:ascii="Arial" w:cs="Arial" w:eastAsia="Arial" w:hAnsi="Arial"/>
                <w:sz w:val="16"/>
                <w:szCs w:val="16"/>
                <w:color w:val="auto"/>
              </w:rPr>
              <w:t>Stock, par</w:t>
            </w:r>
          </w:p>
        </w:tc>
        <w:tc>
          <w:tcPr>
            <w:tcW w:w="20" w:type="dxa"/>
            <w:vAlign w:val="bottom"/>
          </w:tcPr>
          <w:p>
            <w:pPr>
              <w:spacing w:after="0"/>
              <w:rPr>
                <w:sz w:val="7"/>
                <w:szCs w:val="7"/>
                <w:color w:val="auto"/>
              </w:rPr>
            </w:pPr>
          </w:p>
        </w:tc>
        <w:tc>
          <w:tcPr>
            <w:tcW w:w="800" w:type="dxa"/>
            <w:vAlign w:val="bottom"/>
            <w:shd w:val="clear" w:color="auto" w:fill="E7E7E2"/>
          </w:tcPr>
          <w:p>
            <w:pPr>
              <w:spacing w:after="0"/>
              <w:rPr>
                <w:sz w:val="7"/>
                <w:szCs w:val="7"/>
                <w:color w:val="auto"/>
              </w:rPr>
            </w:pPr>
          </w:p>
        </w:tc>
        <w:tc>
          <w:tcPr>
            <w:tcW w:w="1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14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vMerge w:val="restart"/>
            <w:shd w:val="clear" w:color="auto" w:fill="E7E7E2"/>
          </w:tcPr>
          <w:p>
            <w:pPr>
              <w:jc w:val="center"/>
              <w:spacing w:after="0" w:line="181" w:lineRule="exact"/>
              <w:rPr>
                <w:sz w:val="20"/>
                <w:szCs w:val="20"/>
                <w:color w:val="auto"/>
              </w:rPr>
            </w:pPr>
            <w:r>
              <w:rPr>
                <w:rFonts w:ascii="Arial" w:cs="Arial" w:eastAsia="Arial" w:hAnsi="Arial"/>
                <w:sz w:val="16"/>
                <w:szCs w:val="16"/>
                <w:color w:val="auto"/>
                <w:w w:val="99"/>
              </w:rPr>
              <w:t>333-</w:t>
            </w:r>
          </w:p>
        </w:tc>
        <w:tc>
          <w:tcPr>
            <w:tcW w:w="20" w:type="dxa"/>
            <w:vAlign w:val="bottom"/>
          </w:tcPr>
          <w:p>
            <w:pPr>
              <w:spacing w:after="0"/>
              <w:rPr>
                <w:sz w:val="7"/>
                <w:szCs w:val="7"/>
                <w:color w:val="auto"/>
              </w:rPr>
            </w:pPr>
          </w:p>
        </w:tc>
        <w:tc>
          <w:tcPr>
            <w:tcW w:w="84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shd w:val="clear" w:color="auto" w:fill="E7E7E2"/>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76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Forward</w:t>
            </w:r>
          </w:p>
        </w:tc>
        <w:tc>
          <w:tcPr>
            <w:tcW w:w="20" w:type="dxa"/>
            <w:vAlign w:val="bottom"/>
          </w:tcPr>
          <w:p>
            <w:pPr>
              <w:spacing w:after="0"/>
              <w:rPr>
                <w:sz w:val="7"/>
                <w:szCs w:val="7"/>
                <w:color w:val="auto"/>
              </w:rPr>
            </w:pPr>
          </w:p>
        </w:tc>
        <w:tc>
          <w:tcPr>
            <w:tcW w:w="10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w w:val="89"/>
              </w:rPr>
              <w:t>3</w:t>
            </w:r>
          </w:p>
        </w:tc>
        <w:tc>
          <w:tcPr>
            <w:tcW w:w="20" w:type="dxa"/>
            <w:vAlign w:val="bottom"/>
          </w:tcPr>
          <w:p>
            <w:pPr>
              <w:spacing w:after="0"/>
              <w:rPr>
                <w:sz w:val="7"/>
                <w:szCs w:val="7"/>
                <w:color w:val="auto"/>
              </w:rPr>
            </w:pPr>
          </w:p>
        </w:tc>
        <w:tc>
          <w:tcPr>
            <w:tcW w:w="880" w:type="dxa"/>
            <w:vAlign w:val="bottom"/>
            <w:vMerge w:val="restart"/>
            <w:shd w:val="clear" w:color="auto" w:fill="E7E7E2"/>
          </w:tcPr>
          <w:p>
            <w:pPr>
              <w:ind w:left="20"/>
              <w:spacing w:after="0"/>
              <w:rPr>
                <w:sz w:val="20"/>
                <w:szCs w:val="20"/>
                <w:color w:val="auto"/>
              </w:rPr>
            </w:pPr>
            <w:r>
              <w:rPr>
                <w:rFonts w:ascii="Arial" w:cs="Arial" w:eastAsia="Arial" w:hAnsi="Arial"/>
                <w:sz w:val="16"/>
                <w:szCs w:val="16"/>
                <w:color w:val="auto"/>
              </w:rPr>
              <w:t>Equity</w:t>
            </w:r>
          </w:p>
        </w:tc>
        <w:tc>
          <w:tcPr>
            <w:tcW w:w="20" w:type="dxa"/>
            <w:vAlign w:val="bottom"/>
          </w:tcPr>
          <w:p>
            <w:pPr>
              <w:spacing w:after="0"/>
              <w:rPr>
                <w:sz w:val="7"/>
                <w:szCs w:val="7"/>
                <w:color w:val="auto"/>
              </w:rPr>
            </w:pPr>
          </w:p>
        </w:tc>
        <w:tc>
          <w:tcPr>
            <w:tcW w:w="80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vMerge w:val="restart"/>
            <w:shd w:val="clear" w:color="auto" w:fill="E7E7E2"/>
          </w:tcPr>
          <w:p>
            <w:pPr>
              <w:jc w:val="center"/>
              <w:ind w:left="19"/>
              <w:spacing w:after="0"/>
              <w:rPr>
                <w:sz w:val="20"/>
                <w:szCs w:val="20"/>
                <w:color w:val="auto"/>
              </w:rPr>
            </w:pPr>
            <w:r>
              <w:rPr>
                <w:rFonts w:ascii="Arial" w:cs="Arial" w:eastAsia="Arial" w:hAnsi="Arial"/>
                <w:sz w:val="16"/>
                <w:szCs w:val="16"/>
                <w:color w:val="auto"/>
              </w:rPr>
              <w:t>415(a)(6)</w:t>
            </w:r>
          </w:p>
        </w:tc>
        <w:tc>
          <w:tcPr>
            <w:tcW w:w="1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6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100,000</w:t>
            </w:r>
          </w:p>
        </w:tc>
        <w:tc>
          <w:tcPr>
            <w:tcW w:w="20" w:type="dxa"/>
            <w:vAlign w:val="bottom"/>
          </w:tcPr>
          <w:p>
            <w:pPr>
              <w:spacing w:after="0"/>
              <w:rPr>
                <w:sz w:val="7"/>
                <w:szCs w:val="7"/>
                <w:color w:val="auto"/>
              </w:rPr>
            </w:pPr>
          </w:p>
        </w:tc>
        <w:tc>
          <w:tcPr>
            <w:tcW w:w="7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14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$ 1,000,000.00</w:t>
            </w:r>
          </w:p>
        </w:tc>
        <w:tc>
          <w:tcPr>
            <w:tcW w:w="20" w:type="dxa"/>
            <w:vAlign w:val="bottom"/>
          </w:tcPr>
          <w:p>
            <w:pPr>
              <w:spacing w:after="0"/>
              <w:rPr>
                <w:sz w:val="7"/>
                <w:szCs w:val="7"/>
                <w:color w:val="auto"/>
              </w:rPr>
            </w:pPr>
          </w:p>
        </w:tc>
        <w:tc>
          <w:tcPr>
            <w:tcW w:w="8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vMerge w:val="restart"/>
            <w:shd w:val="clear" w:color="auto" w:fill="E7E7E2"/>
          </w:tcPr>
          <w:p>
            <w:pPr>
              <w:ind w:left="220"/>
              <w:spacing w:after="0"/>
              <w:rPr>
                <w:sz w:val="20"/>
                <w:szCs w:val="20"/>
                <w:color w:val="auto"/>
              </w:rPr>
            </w:pPr>
            <w:r>
              <w:rPr>
                <w:rFonts w:ascii="Arial" w:cs="Arial" w:eastAsia="Arial" w:hAnsi="Arial"/>
                <w:sz w:val="16"/>
                <w:szCs w:val="16"/>
                <w:color w:val="auto"/>
              </w:rPr>
              <w:t>S-3</w:t>
            </w:r>
          </w:p>
        </w:tc>
        <w:tc>
          <w:tcPr>
            <w:tcW w:w="20" w:type="dxa"/>
            <w:vAlign w:val="bottom"/>
          </w:tcPr>
          <w:p>
            <w:pPr>
              <w:spacing w:after="0"/>
              <w:rPr>
                <w:sz w:val="7"/>
                <w:szCs w:val="7"/>
                <w:color w:val="auto"/>
              </w:rPr>
            </w:pPr>
          </w:p>
        </w:tc>
        <w:tc>
          <w:tcPr>
            <w:tcW w:w="68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4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w w:val="99"/>
              </w:rPr>
              <w:t>10/27/2023</w:t>
            </w:r>
          </w:p>
        </w:tc>
        <w:tc>
          <w:tcPr>
            <w:tcW w:w="20" w:type="dxa"/>
            <w:vAlign w:val="bottom"/>
          </w:tcPr>
          <w:p>
            <w:pPr>
              <w:spacing w:after="0"/>
              <w:rPr>
                <w:sz w:val="7"/>
                <w:szCs w:val="7"/>
                <w:color w:val="auto"/>
              </w:rPr>
            </w:pPr>
          </w:p>
        </w:tc>
        <w:tc>
          <w:tcPr>
            <w:tcW w:w="90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$ 147.60</w:t>
            </w:r>
          </w:p>
        </w:tc>
        <w:tc>
          <w:tcPr>
            <w:tcW w:w="0" w:type="dxa"/>
            <w:vAlign w:val="bottom"/>
          </w:tcPr>
          <w:p>
            <w:pPr>
              <w:spacing w:after="0"/>
              <w:rPr>
                <w:sz w:val="1"/>
                <w:szCs w:val="1"/>
                <w:color w:val="auto"/>
              </w:rPr>
            </w:pPr>
          </w:p>
        </w:tc>
      </w:tr>
      <w:tr>
        <w:trPr>
          <w:trHeight w:val="107"/>
        </w:trPr>
        <w:tc>
          <w:tcPr>
            <w:tcW w:w="760" w:type="dxa"/>
            <w:vAlign w:val="bottom"/>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880" w:type="dxa"/>
            <w:vAlign w:val="bottom"/>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shd w:val="clear" w:color="auto" w:fill="E7E7E2"/>
          </w:tcPr>
          <w:p>
            <w:pPr>
              <w:ind w:left="20"/>
              <w:spacing w:after="0" w:line="107" w:lineRule="exact"/>
              <w:rPr>
                <w:sz w:val="20"/>
                <w:szCs w:val="20"/>
                <w:color w:val="auto"/>
              </w:rPr>
            </w:pPr>
            <w:r>
              <w:rPr>
                <w:rFonts w:ascii="Arial" w:cs="Arial" w:eastAsia="Arial" w:hAnsi="Arial"/>
                <w:sz w:val="12"/>
                <w:szCs w:val="12"/>
                <w:color w:val="auto"/>
              </w:rPr>
              <w:t>value</w:t>
            </w:r>
          </w:p>
        </w:tc>
        <w:tc>
          <w:tcPr>
            <w:tcW w:w="20" w:type="dxa"/>
            <w:vAlign w:val="bottom"/>
          </w:tcPr>
          <w:p>
            <w:pPr>
              <w:spacing w:after="0"/>
              <w:rPr>
                <w:sz w:val="9"/>
                <w:szCs w:val="9"/>
                <w:color w:val="auto"/>
              </w:rPr>
            </w:pPr>
          </w:p>
        </w:tc>
        <w:tc>
          <w:tcPr>
            <w:tcW w:w="800" w:type="dxa"/>
            <w:vAlign w:val="bottom"/>
            <w:vMerge w:val="continue"/>
            <w:shd w:val="clear" w:color="auto" w:fill="E7E7E2"/>
          </w:tcPr>
          <w:p>
            <w:pPr>
              <w:spacing w:after="0"/>
              <w:rPr>
                <w:sz w:val="9"/>
                <w:szCs w:val="9"/>
                <w:color w:val="auto"/>
              </w:rPr>
            </w:pPr>
          </w:p>
        </w:tc>
        <w:tc>
          <w:tcPr>
            <w:tcW w:w="10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860" w:type="dxa"/>
            <w:vAlign w:val="bottom"/>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76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1140" w:type="dxa"/>
            <w:vAlign w:val="bottom"/>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96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shd w:val="clear" w:color="auto" w:fill="E7E7E2"/>
          </w:tcPr>
          <w:p>
            <w:pPr>
              <w:jc w:val="center"/>
              <w:spacing w:after="0" w:line="107" w:lineRule="exact"/>
              <w:rPr>
                <w:sz w:val="20"/>
                <w:szCs w:val="20"/>
                <w:color w:val="auto"/>
              </w:rPr>
            </w:pPr>
            <w:r>
              <w:rPr>
                <w:rFonts w:ascii="Arial" w:cs="Arial" w:eastAsia="Arial" w:hAnsi="Arial"/>
                <w:sz w:val="12"/>
                <w:szCs w:val="12"/>
                <w:color w:val="auto"/>
              </w:rPr>
              <w:t>273062</w:t>
            </w:r>
          </w:p>
        </w:tc>
        <w:tc>
          <w:tcPr>
            <w:tcW w:w="20" w:type="dxa"/>
            <w:vAlign w:val="bottom"/>
          </w:tcPr>
          <w:p>
            <w:pPr>
              <w:spacing w:after="0"/>
              <w:rPr>
                <w:sz w:val="9"/>
                <w:szCs w:val="9"/>
                <w:color w:val="auto"/>
              </w:rPr>
            </w:pPr>
          </w:p>
        </w:tc>
        <w:tc>
          <w:tcPr>
            <w:tcW w:w="840" w:type="dxa"/>
            <w:vAlign w:val="bottom"/>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vMerge w:val="continue"/>
            <w:shd w:val="clear" w:color="auto" w:fill="E7E7E2"/>
          </w:tcPr>
          <w:p>
            <w:pPr>
              <w:spacing w:after="0"/>
              <w:rPr>
                <w:sz w:val="9"/>
                <w:szCs w:val="9"/>
                <w:color w:val="auto"/>
              </w:rPr>
            </w:pPr>
          </w:p>
        </w:tc>
        <w:tc>
          <w:tcPr>
            <w:tcW w:w="0" w:type="dxa"/>
            <w:vAlign w:val="bottom"/>
          </w:tcPr>
          <w:p>
            <w:pPr>
              <w:spacing w:after="0"/>
              <w:rPr>
                <w:sz w:val="1"/>
                <w:szCs w:val="1"/>
                <w:color w:val="auto"/>
              </w:rPr>
            </w:pPr>
          </w:p>
        </w:tc>
      </w:tr>
      <w:tr>
        <w:trPr>
          <w:trHeight w:val="214"/>
        </w:trPr>
        <w:tc>
          <w:tcPr>
            <w:tcW w:w="760" w:type="dxa"/>
            <w:vAlign w:val="bottom"/>
            <w:shd w:val="clear" w:color="auto" w:fill="E7E7E2"/>
          </w:tcPr>
          <w:p>
            <w:pPr>
              <w:spacing w:after="0"/>
              <w:rPr>
                <w:sz w:val="20"/>
                <w:szCs w:val="20"/>
                <w:color w:val="auto"/>
              </w:rPr>
            </w:pPr>
            <w:r>
              <w:rPr>
                <w:rFonts w:ascii="Arial" w:cs="Arial" w:eastAsia="Arial" w:hAnsi="Arial"/>
                <w:sz w:val="16"/>
                <w:szCs w:val="16"/>
                <w:color w:val="auto"/>
              </w:rPr>
              <w:t>Securities</w:t>
            </w:r>
          </w:p>
        </w:tc>
        <w:tc>
          <w:tcPr>
            <w:tcW w:w="20" w:type="dxa"/>
            <w:vAlign w:val="bottom"/>
          </w:tcPr>
          <w:p>
            <w:pPr>
              <w:spacing w:after="0"/>
              <w:rPr>
                <w:sz w:val="18"/>
                <w:szCs w:val="18"/>
                <w:color w:val="auto"/>
              </w:rPr>
            </w:pPr>
          </w:p>
        </w:tc>
        <w:tc>
          <w:tcPr>
            <w:tcW w:w="1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vMerge w:val="restart"/>
            <w:shd w:val="clear" w:color="auto" w:fill="E7E7E2"/>
          </w:tcPr>
          <w:p>
            <w:pPr>
              <w:ind w:left="20"/>
              <w:spacing w:after="0"/>
              <w:rPr>
                <w:sz w:val="20"/>
                <w:szCs w:val="20"/>
                <w:color w:val="auto"/>
              </w:rPr>
            </w:pPr>
            <w:r>
              <w:rPr>
                <w:rFonts w:ascii="Arial" w:cs="Arial" w:eastAsia="Arial" w:hAnsi="Arial"/>
                <w:sz w:val="16"/>
                <w:szCs w:val="16"/>
                <w:color w:val="auto"/>
                <w:w w:val="99"/>
              </w:rPr>
              <w:t>$0.001 per</w:t>
            </w:r>
          </w:p>
        </w:tc>
        <w:tc>
          <w:tcPr>
            <w:tcW w:w="20" w:type="dxa"/>
            <w:vAlign w:val="bottom"/>
          </w:tcPr>
          <w:p>
            <w:pPr>
              <w:spacing w:after="0"/>
              <w:rPr>
                <w:sz w:val="18"/>
                <w:szCs w:val="18"/>
                <w:color w:val="auto"/>
              </w:rPr>
            </w:pPr>
          </w:p>
        </w:tc>
        <w:tc>
          <w:tcPr>
            <w:tcW w:w="800" w:type="dxa"/>
            <w:vAlign w:val="bottom"/>
            <w:shd w:val="clear" w:color="auto" w:fill="E7E7E2"/>
          </w:tcPr>
          <w:p>
            <w:pPr>
              <w:spacing w:after="0"/>
              <w:rPr>
                <w:sz w:val="18"/>
                <w:szCs w:val="18"/>
                <w:color w:val="auto"/>
              </w:rPr>
            </w:pPr>
          </w:p>
        </w:tc>
        <w:tc>
          <w:tcPr>
            <w:tcW w:w="1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42"/>
        </w:trPr>
        <w:tc>
          <w:tcPr>
            <w:tcW w:w="760" w:type="dxa"/>
            <w:vAlign w:val="bottom"/>
            <w:shd w:val="clear" w:color="auto" w:fill="E7E7E2"/>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shd w:val="clear" w:color="auto" w:fill="E7E7E2"/>
          </w:tcPr>
          <w:p>
            <w:pPr>
              <w:spacing w:after="0"/>
              <w:rPr>
                <w:sz w:val="3"/>
                <w:szCs w:val="3"/>
                <w:color w:val="auto"/>
              </w:rPr>
            </w:pPr>
          </w:p>
        </w:tc>
        <w:tc>
          <w:tcPr>
            <w:tcW w:w="20" w:type="dxa"/>
            <w:vAlign w:val="bottom"/>
          </w:tcPr>
          <w:p>
            <w:pPr>
              <w:spacing w:after="0"/>
              <w:rPr>
                <w:sz w:val="3"/>
                <w:szCs w:val="3"/>
                <w:color w:val="auto"/>
              </w:rPr>
            </w:pPr>
          </w:p>
        </w:tc>
        <w:tc>
          <w:tcPr>
            <w:tcW w:w="880" w:type="dxa"/>
            <w:vAlign w:val="bottom"/>
            <w:shd w:val="clear" w:color="auto" w:fill="E7E7E2"/>
          </w:tcPr>
          <w:p>
            <w:pPr>
              <w:spacing w:after="0"/>
              <w:rPr>
                <w:sz w:val="3"/>
                <w:szCs w:val="3"/>
                <w:color w:val="auto"/>
              </w:rPr>
            </w:pPr>
          </w:p>
        </w:tc>
        <w:tc>
          <w:tcPr>
            <w:tcW w:w="20" w:type="dxa"/>
            <w:vAlign w:val="bottom"/>
          </w:tcPr>
          <w:p>
            <w:pPr>
              <w:spacing w:after="0"/>
              <w:rPr>
                <w:sz w:val="3"/>
                <w:szCs w:val="3"/>
                <w:color w:val="auto"/>
              </w:rPr>
            </w:pPr>
          </w:p>
        </w:tc>
        <w:tc>
          <w:tcPr>
            <w:tcW w:w="800" w:type="dxa"/>
            <w:vAlign w:val="bottom"/>
            <w:vMerge w:val="continue"/>
            <w:shd w:val="clear" w:color="auto" w:fill="E7E7E2"/>
          </w:tcPr>
          <w:p>
            <w:pPr>
              <w:spacing w:after="0"/>
              <w:rPr>
                <w:sz w:val="3"/>
                <w:szCs w:val="3"/>
                <w:color w:val="auto"/>
              </w:rPr>
            </w:pPr>
          </w:p>
        </w:tc>
        <w:tc>
          <w:tcPr>
            <w:tcW w:w="20" w:type="dxa"/>
            <w:vAlign w:val="bottom"/>
          </w:tcPr>
          <w:p>
            <w:pPr>
              <w:spacing w:after="0"/>
              <w:rPr>
                <w:sz w:val="3"/>
                <w:szCs w:val="3"/>
                <w:color w:val="auto"/>
              </w:rPr>
            </w:pPr>
          </w:p>
        </w:tc>
        <w:tc>
          <w:tcPr>
            <w:tcW w:w="800" w:type="dxa"/>
            <w:vAlign w:val="bottom"/>
            <w:shd w:val="clear" w:color="auto" w:fill="E7E7E2"/>
          </w:tcPr>
          <w:p>
            <w:pPr>
              <w:spacing w:after="0"/>
              <w:rPr>
                <w:sz w:val="3"/>
                <w:szCs w:val="3"/>
                <w:color w:val="auto"/>
              </w:rPr>
            </w:pPr>
          </w:p>
        </w:tc>
        <w:tc>
          <w:tcPr>
            <w:tcW w:w="100" w:type="dxa"/>
            <w:vAlign w:val="bottom"/>
            <w:shd w:val="clear" w:color="auto" w:fill="E7E7E2"/>
          </w:tcPr>
          <w:p>
            <w:pPr>
              <w:spacing w:after="0"/>
              <w:rPr>
                <w:sz w:val="3"/>
                <w:szCs w:val="3"/>
                <w:color w:val="auto"/>
              </w:rPr>
            </w:pPr>
          </w:p>
        </w:tc>
        <w:tc>
          <w:tcPr>
            <w:tcW w:w="20" w:type="dxa"/>
            <w:vAlign w:val="bottom"/>
          </w:tcPr>
          <w:p>
            <w:pPr>
              <w:spacing w:after="0"/>
              <w:rPr>
                <w:sz w:val="3"/>
                <w:szCs w:val="3"/>
                <w:color w:val="auto"/>
              </w:rPr>
            </w:pPr>
          </w:p>
        </w:tc>
        <w:tc>
          <w:tcPr>
            <w:tcW w:w="860" w:type="dxa"/>
            <w:vAlign w:val="bottom"/>
            <w:shd w:val="clear" w:color="auto" w:fill="E7E7E2"/>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shd w:val="clear" w:color="auto" w:fill="E7E7E2"/>
          </w:tcPr>
          <w:p>
            <w:pPr>
              <w:spacing w:after="0"/>
              <w:rPr>
                <w:sz w:val="3"/>
                <w:szCs w:val="3"/>
                <w:color w:val="auto"/>
              </w:rPr>
            </w:pPr>
          </w:p>
        </w:tc>
        <w:tc>
          <w:tcPr>
            <w:tcW w:w="20" w:type="dxa"/>
            <w:vAlign w:val="bottom"/>
          </w:tcPr>
          <w:p>
            <w:pPr>
              <w:spacing w:after="0"/>
              <w:rPr>
                <w:sz w:val="3"/>
                <w:szCs w:val="3"/>
                <w:color w:val="auto"/>
              </w:rPr>
            </w:pPr>
          </w:p>
        </w:tc>
        <w:tc>
          <w:tcPr>
            <w:tcW w:w="1140" w:type="dxa"/>
            <w:vAlign w:val="bottom"/>
            <w:shd w:val="clear" w:color="auto" w:fill="E7E7E2"/>
          </w:tcPr>
          <w:p>
            <w:pPr>
              <w:spacing w:after="0"/>
              <w:rPr>
                <w:sz w:val="3"/>
                <w:szCs w:val="3"/>
                <w:color w:val="auto"/>
              </w:rPr>
            </w:pPr>
          </w:p>
        </w:tc>
        <w:tc>
          <w:tcPr>
            <w:tcW w:w="20" w:type="dxa"/>
            <w:vAlign w:val="bottom"/>
          </w:tcPr>
          <w:p>
            <w:pPr>
              <w:spacing w:after="0"/>
              <w:rPr>
                <w:sz w:val="3"/>
                <w:szCs w:val="3"/>
                <w:color w:val="auto"/>
              </w:rPr>
            </w:pPr>
          </w:p>
        </w:tc>
        <w:tc>
          <w:tcPr>
            <w:tcW w:w="800" w:type="dxa"/>
            <w:vAlign w:val="bottom"/>
            <w:shd w:val="clear" w:color="auto" w:fill="E7E7E2"/>
          </w:tcPr>
          <w:p>
            <w:pPr>
              <w:spacing w:after="0"/>
              <w:rPr>
                <w:sz w:val="3"/>
                <w:szCs w:val="3"/>
                <w:color w:val="auto"/>
              </w:rPr>
            </w:pPr>
          </w:p>
        </w:tc>
        <w:tc>
          <w:tcPr>
            <w:tcW w:w="20" w:type="dxa"/>
            <w:vAlign w:val="bottom"/>
          </w:tcPr>
          <w:p>
            <w:pPr>
              <w:spacing w:after="0"/>
              <w:rPr>
                <w:sz w:val="3"/>
                <w:szCs w:val="3"/>
                <w:color w:val="auto"/>
              </w:rPr>
            </w:pPr>
          </w:p>
        </w:tc>
        <w:tc>
          <w:tcPr>
            <w:tcW w:w="960" w:type="dxa"/>
            <w:vAlign w:val="bottom"/>
            <w:shd w:val="clear" w:color="auto" w:fill="E7E7E2"/>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shd w:val="clear" w:color="auto" w:fill="E7E7E2"/>
          </w:tcPr>
          <w:p>
            <w:pPr>
              <w:spacing w:after="0"/>
              <w:rPr>
                <w:sz w:val="3"/>
                <w:szCs w:val="3"/>
                <w:color w:val="auto"/>
              </w:rPr>
            </w:pPr>
          </w:p>
        </w:tc>
        <w:tc>
          <w:tcPr>
            <w:tcW w:w="20" w:type="dxa"/>
            <w:vAlign w:val="bottom"/>
          </w:tcPr>
          <w:p>
            <w:pPr>
              <w:spacing w:after="0"/>
              <w:rPr>
                <w:sz w:val="3"/>
                <w:szCs w:val="3"/>
                <w:color w:val="auto"/>
              </w:rPr>
            </w:pPr>
          </w:p>
        </w:tc>
        <w:tc>
          <w:tcPr>
            <w:tcW w:w="680" w:type="dxa"/>
            <w:vAlign w:val="bottom"/>
            <w:shd w:val="clear" w:color="auto" w:fill="E7E7E2"/>
          </w:tcPr>
          <w:p>
            <w:pPr>
              <w:spacing w:after="0"/>
              <w:rPr>
                <w:sz w:val="3"/>
                <w:szCs w:val="3"/>
                <w:color w:val="auto"/>
              </w:rPr>
            </w:pPr>
          </w:p>
        </w:tc>
        <w:tc>
          <w:tcPr>
            <w:tcW w:w="20" w:type="dxa"/>
            <w:vAlign w:val="bottom"/>
          </w:tcPr>
          <w:p>
            <w:pPr>
              <w:spacing w:after="0"/>
              <w:rPr>
                <w:sz w:val="3"/>
                <w:szCs w:val="3"/>
                <w:color w:val="auto"/>
              </w:rPr>
            </w:pPr>
          </w:p>
        </w:tc>
        <w:tc>
          <w:tcPr>
            <w:tcW w:w="840" w:type="dxa"/>
            <w:vAlign w:val="bottom"/>
            <w:shd w:val="clear" w:color="auto" w:fill="E7E7E2"/>
          </w:tcPr>
          <w:p>
            <w:pPr>
              <w:spacing w:after="0"/>
              <w:rPr>
                <w:sz w:val="3"/>
                <w:szCs w:val="3"/>
                <w:color w:val="auto"/>
              </w:rPr>
            </w:pPr>
          </w:p>
        </w:tc>
        <w:tc>
          <w:tcPr>
            <w:tcW w:w="20" w:type="dxa"/>
            <w:vAlign w:val="bottom"/>
          </w:tcPr>
          <w:p>
            <w:pPr>
              <w:spacing w:after="0"/>
              <w:rPr>
                <w:sz w:val="3"/>
                <w:szCs w:val="3"/>
                <w:color w:val="auto"/>
              </w:rPr>
            </w:pPr>
          </w:p>
        </w:tc>
        <w:tc>
          <w:tcPr>
            <w:tcW w:w="900" w:type="dxa"/>
            <w:vAlign w:val="bottom"/>
            <w:shd w:val="clear" w:color="auto" w:fill="E7E7E2"/>
          </w:tcPr>
          <w:p>
            <w:pPr>
              <w:spacing w:after="0"/>
              <w:rPr>
                <w:sz w:val="3"/>
                <w:szCs w:val="3"/>
                <w:color w:val="auto"/>
              </w:rPr>
            </w:pPr>
          </w:p>
        </w:tc>
        <w:tc>
          <w:tcPr>
            <w:tcW w:w="0" w:type="dxa"/>
            <w:vAlign w:val="bottom"/>
          </w:tcPr>
          <w:p>
            <w:pPr>
              <w:spacing w:after="0"/>
              <w:rPr>
                <w:sz w:val="1"/>
                <w:szCs w:val="1"/>
                <w:color w:val="auto"/>
              </w:rPr>
            </w:pPr>
          </w:p>
        </w:tc>
      </w:tr>
      <w:tr>
        <w:trPr>
          <w:trHeight w:val="212"/>
        </w:trPr>
        <w:tc>
          <w:tcPr>
            <w:tcW w:w="7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shd w:val="clear" w:color="auto" w:fill="E7E7E2"/>
          </w:tcPr>
          <w:p>
            <w:pPr>
              <w:ind w:left="20"/>
              <w:spacing w:after="0"/>
              <w:rPr>
                <w:sz w:val="20"/>
                <w:szCs w:val="20"/>
                <w:color w:val="auto"/>
              </w:rPr>
            </w:pPr>
            <w:r>
              <w:rPr>
                <w:rFonts w:ascii="Arial" w:cs="Arial" w:eastAsia="Arial" w:hAnsi="Arial"/>
                <w:sz w:val="16"/>
                <w:szCs w:val="16"/>
                <w:color w:val="auto"/>
              </w:rPr>
              <w:t>share</w:t>
            </w:r>
          </w:p>
        </w:tc>
        <w:tc>
          <w:tcPr>
            <w:tcW w:w="20" w:type="dxa"/>
            <w:vAlign w:val="bottom"/>
          </w:tcPr>
          <w:p>
            <w:pPr>
              <w:spacing w:after="0"/>
              <w:rPr>
                <w:sz w:val="18"/>
                <w:szCs w:val="18"/>
                <w:color w:val="auto"/>
              </w:rPr>
            </w:pPr>
          </w:p>
        </w:tc>
        <w:tc>
          <w:tcPr>
            <w:tcW w:w="800" w:type="dxa"/>
            <w:vAlign w:val="bottom"/>
            <w:shd w:val="clear" w:color="auto" w:fill="E7E7E2"/>
          </w:tcPr>
          <w:p>
            <w:pPr>
              <w:spacing w:after="0"/>
              <w:rPr>
                <w:sz w:val="18"/>
                <w:szCs w:val="18"/>
                <w:color w:val="auto"/>
              </w:rPr>
            </w:pPr>
          </w:p>
        </w:tc>
        <w:tc>
          <w:tcPr>
            <w:tcW w:w="1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7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shd w:val="clear" w:color="auto" w:fill="E7E7E2"/>
          </w:tcPr>
          <w:p>
            <w:pPr>
              <w:ind w:left="20"/>
              <w:spacing w:after="0" w:line="171" w:lineRule="exact"/>
              <w:rPr>
                <w:sz w:val="20"/>
                <w:szCs w:val="20"/>
                <w:color w:val="auto"/>
              </w:rPr>
            </w:pPr>
            <w:r>
              <w:rPr>
                <w:rFonts w:ascii="Arial" w:cs="Arial" w:eastAsia="Arial" w:hAnsi="Arial"/>
                <w:sz w:val="16"/>
                <w:szCs w:val="16"/>
                <w:color w:val="auto"/>
              </w:rPr>
              <w:t>Class A</w:t>
            </w:r>
          </w:p>
        </w:tc>
        <w:tc>
          <w:tcPr>
            <w:tcW w:w="20" w:type="dxa"/>
            <w:vAlign w:val="bottom"/>
          </w:tcPr>
          <w:p>
            <w:pPr>
              <w:spacing w:after="0"/>
              <w:rPr>
                <w:sz w:val="14"/>
                <w:szCs w:val="14"/>
                <w:color w:val="auto"/>
              </w:rPr>
            </w:pPr>
          </w:p>
        </w:tc>
        <w:tc>
          <w:tcPr>
            <w:tcW w:w="800" w:type="dxa"/>
            <w:vAlign w:val="bottom"/>
            <w:shd w:val="clear" w:color="auto" w:fill="E7E7E2"/>
          </w:tcPr>
          <w:p>
            <w:pPr>
              <w:spacing w:after="0"/>
              <w:rPr>
                <w:sz w:val="14"/>
                <w:szCs w:val="14"/>
                <w:color w:val="auto"/>
              </w:rPr>
            </w:pPr>
          </w:p>
        </w:tc>
        <w:tc>
          <w:tcPr>
            <w:tcW w:w="1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76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Carry</w:t>
            </w:r>
          </w:p>
        </w:tc>
        <w:tc>
          <w:tcPr>
            <w:tcW w:w="20" w:type="dxa"/>
            <w:vAlign w:val="bottom"/>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ind w:left="20"/>
              <w:spacing w:after="0" w:line="181" w:lineRule="exact"/>
              <w:rPr>
                <w:sz w:val="20"/>
                <w:szCs w:val="20"/>
                <w:color w:val="auto"/>
              </w:rPr>
            </w:pPr>
            <w:r>
              <w:rPr>
                <w:rFonts w:ascii="Arial" w:cs="Arial" w:eastAsia="Arial" w:hAnsi="Arial"/>
                <w:sz w:val="16"/>
                <w:szCs w:val="16"/>
                <w:color w:val="auto"/>
              </w:rPr>
              <w:t>Common</w:t>
            </w: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91"/>
        </w:trPr>
        <w:tc>
          <w:tcPr>
            <w:tcW w:w="76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vMerge w:val="restart"/>
            <w:shd w:val="clear" w:color="auto" w:fill="E7E7E2"/>
          </w:tcPr>
          <w:p>
            <w:pPr>
              <w:ind w:left="20"/>
              <w:spacing w:after="0" w:line="181" w:lineRule="exact"/>
              <w:rPr>
                <w:sz w:val="20"/>
                <w:szCs w:val="20"/>
                <w:color w:val="auto"/>
              </w:rPr>
            </w:pPr>
            <w:r>
              <w:rPr>
                <w:rFonts w:ascii="Arial" w:cs="Arial" w:eastAsia="Arial" w:hAnsi="Arial"/>
                <w:sz w:val="16"/>
                <w:szCs w:val="16"/>
                <w:color w:val="auto"/>
              </w:rPr>
              <w:t>Stock, par</w:t>
            </w:r>
          </w:p>
        </w:tc>
        <w:tc>
          <w:tcPr>
            <w:tcW w:w="20" w:type="dxa"/>
            <w:vAlign w:val="bottom"/>
          </w:tcPr>
          <w:p>
            <w:pPr>
              <w:spacing w:after="0"/>
              <w:rPr>
                <w:sz w:val="7"/>
                <w:szCs w:val="7"/>
                <w:color w:val="auto"/>
              </w:rPr>
            </w:pPr>
          </w:p>
        </w:tc>
        <w:tc>
          <w:tcPr>
            <w:tcW w:w="800" w:type="dxa"/>
            <w:vAlign w:val="bottom"/>
            <w:shd w:val="clear" w:color="auto" w:fill="E7E7E2"/>
          </w:tcPr>
          <w:p>
            <w:pPr>
              <w:spacing w:after="0"/>
              <w:rPr>
                <w:sz w:val="7"/>
                <w:szCs w:val="7"/>
                <w:color w:val="auto"/>
              </w:rPr>
            </w:pPr>
          </w:p>
        </w:tc>
        <w:tc>
          <w:tcPr>
            <w:tcW w:w="1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140" w:type="dxa"/>
            <w:vAlign w:val="bottom"/>
            <w:vMerge w:val="restart"/>
            <w:shd w:val="clear" w:color="auto" w:fill="E7E7E2"/>
          </w:tcPr>
          <w:p>
            <w:pPr>
              <w:jc w:val="right"/>
              <w:spacing w:after="0" w:line="181" w:lineRule="exact"/>
              <w:rPr>
                <w:sz w:val="20"/>
                <w:szCs w:val="20"/>
                <w:color w:val="auto"/>
              </w:rPr>
            </w:pPr>
            <w:r>
              <w:rPr>
                <w:rFonts w:ascii="Arial" w:cs="Arial" w:eastAsia="Arial" w:hAnsi="Arial"/>
                <w:sz w:val="16"/>
                <w:szCs w:val="16"/>
                <w:color w:val="auto"/>
              </w:rPr>
              <w:t>$</w:t>
            </w:r>
          </w:p>
        </w:tc>
        <w:tc>
          <w:tcPr>
            <w:tcW w:w="20" w:type="dxa"/>
            <w:vAlign w:val="bottom"/>
          </w:tcPr>
          <w:p>
            <w:pPr>
              <w:spacing w:after="0"/>
              <w:rPr>
                <w:sz w:val="7"/>
                <w:szCs w:val="7"/>
                <w:color w:val="auto"/>
              </w:rPr>
            </w:pPr>
          </w:p>
        </w:tc>
        <w:tc>
          <w:tcPr>
            <w:tcW w:w="8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vMerge w:val="restart"/>
            <w:shd w:val="clear" w:color="auto" w:fill="E7E7E2"/>
          </w:tcPr>
          <w:p>
            <w:pPr>
              <w:jc w:val="center"/>
              <w:spacing w:after="0" w:line="181" w:lineRule="exact"/>
              <w:rPr>
                <w:sz w:val="20"/>
                <w:szCs w:val="20"/>
                <w:color w:val="auto"/>
              </w:rPr>
            </w:pPr>
            <w:r>
              <w:rPr>
                <w:rFonts w:ascii="Arial" w:cs="Arial" w:eastAsia="Arial" w:hAnsi="Arial"/>
                <w:sz w:val="16"/>
                <w:szCs w:val="16"/>
                <w:color w:val="auto"/>
                <w:w w:val="99"/>
              </w:rPr>
              <w:t>333-</w:t>
            </w:r>
          </w:p>
        </w:tc>
        <w:tc>
          <w:tcPr>
            <w:tcW w:w="20" w:type="dxa"/>
            <w:vAlign w:val="bottom"/>
          </w:tcPr>
          <w:p>
            <w:pPr>
              <w:spacing w:after="0"/>
              <w:rPr>
                <w:sz w:val="7"/>
                <w:szCs w:val="7"/>
                <w:color w:val="auto"/>
              </w:rPr>
            </w:pPr>
          </w:p>
        </w:tc>
        <w:tc>
          <w:tcPr>
            <w:tcW w:w="84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shd w:val="clear" w:color="auto" w:fill="E7E7E2"/>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76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Forward</w:t>
            </w:r>
          </w:p>
        </w:tc>
        <w:tc>
          <w:tcPr>
            <w:tcW w:w="20" w:type="dxa"/>
            <w:vAlign w:val="bottom"/>
          </w:tcPr>
          <w:p>
            <w:pPr>
              <w:spacing w:after="0"/>
              <w:rPr>
                <w:sz w:val="7"/>
                <w:szCs w:val="7"/>
                <w:color w:val="auto"/>
              </w:rPr>
            </w:pPr>
          </w:p>
        </w:tc>
        <w:tc>
          <w:tcPr>
            <w:tcW w:w="10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w w:val="89"/>
              </w:rPr>
              <w:t>4</w:t>
            </w:r>
          </w:p>
        </w:tc>
        <w:tc>
          <w:tcPr>
            <w:tcW w:w="20" w:type="dxa"/>
            <w:vAlign w:val="bottom"/>
          </w:tcPr>
          <w:p>
            <w:pPr>
              <w:spacing w:after="0"/>
              <w:rPr>
                <w:sz w:val="7"/>
                <w:szCs w:val="7"/>
                <w:color w:val="auto"/>
              </w:rPr>
            </w:pPr>
          </w:p>
        </w:tc>
        <w:tc>
          <w:tcPr>
            <w:tcW w:w="880" w:type="dxa"/>
            <w:vAlign w:val="bottom"/>
            <w:vMerge w:val="restart"/>
            <w:shd w:val="clear" w:color="auto" w:fill="E7E7E2"/>
          </w:tcPr>
          <w:p>
            <w:pPr>
              <w:ind w:left="20"/>
              <w:spacing w:after="0"/>
              <w:rPr>
                <w:sz w:val="20"/>
                <w:szCs w:val="20"/>
                <w:color w:val="auto"/>
              </w:rPr>
            </w:pPr>
            <w:r>
              <w:rPr>
                <w:rFonts w:ascii="Arial" w:cs="Arial" w:eastAsia="Arial" w:hAnsi="Arial"/>
                <w:sz w:val="16"/>
                <w:szCs w:val="16"/>
                <w:color w:val="auto"/>
              </w:rPr>
              <w:t>Equity</w:t>
            </w:r>
          </w:p>
        </w:tc>
        <w:tc>
          <w:tcPr>
            <w:tcW w:w="20" w:type="dxa"/>
            <w:vAlign w:val="bottom"/>
          </w:tcPr>
          <w:p>
            <w:pPr>
              <w:spacing w:after="0"/>
              <w:rPr>
                <w:sz w:val="7"/>
                <w:szCs w:val="7"/>
                <w:color w:val="auto"/>
              </w:rPr>
            </w:pPr>
          </w:p>
        </w:tc>
        <w:tc>
          <w:tcPr>
            <w:tcW w:w="80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vMerge w:val="restart"/>
            <w:shd w:val="clear" w:color="auto" w:fill="E7E7E2"/>
          </w:tcPr>
          <w:p>
            <w:pPr>
              <w:jc w:val="center"/>
              <w:ind w:left="19"/>
              <w:spacing w:after="0"/>
              <w:rPr>
                <w:sz w:val="20"/>
                <w:szCs w:val="20"/>
                <w:color w:val="auto"/>
              </w:rPr>
            </w:pPr>
            <w:r>
              <w:rPr>
                <w:rFonts w:ascii="Arial" w:cs="Arial" w:eastAsia="Arial" w:hAnsi="Arial"/>
                <w:sz w:val="16"/>
                <w:szCs w:val="16"/>
                <w:color w:val="auto"/>
              </w:rPr>
              <w:t>415(a)(6)</w:t>
            </w:r>
          </w:p>
        </w:tc>
        <w:tc>
          <w:tcPr>
            <w:tcW w:w="1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6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9,040,000</w:t>
            </w:r>
          </w:p>
        </w:tc>
        <w:tc>
          <w:tcPr>
            <w:tcW w:w="20" w:type="dxa"/>
            <w:vAlign w:val="bottom"/>
          </w:tcPr>
          <w:p>
            <w:pPr>
              <w:spacing w:after="0"/>
              <w:rPr>
                <w:sz w:val="7"/>
                <w:szCs w:val="7"/>
                <w:color w:val="auto"/>
              </w:rPr>
            </w:pPr>
          </w:p>
        </w:tc>
        <w:tc>
          <w:tcPr>
            <w:tcW w:w="7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14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vMerge w:val="restart"/>
            <w:shd w:val="clear" w:color="auto" w:fill="E7E7E2"/>
          </w:tcPr>
          <w:p>
            <w:pPr>
              <w:ind w:left="220"/>
              <w:spacing w:after="0"/>
              <w:rPr>
                <w:sz w:val="20"/>
                <w:szCs w:val="20"/>
                <w:color w:val="auto"/>
              </w:rPr>
            </w:pPr>
            <w:r>
              <w:rPr>
                <w:rFonts w:ascii="Arial" w:cs="Arial" w:eastAsia="Arial" w:hAnsi="Arial"/>
                <w:sz w:val="16"/>
                <w:szCs w:val="16"/>
                <w:color w:val="auto"/>
              </w:rPr>
              <w:t>S-3</w:t>
            </w:r>
          </w:p>
        </w:tc>
        <w:tc>
          <w:tcPr>
            <w:tcW w:w="20" w:type="dxa"/>
            <w:vAlign w:val="bottom"/>
          </w:tcPr>
          <w:p>
            <w:pPr>
              <w:spacing w:after="0"/>
              <w:rPr>
                <w:sz w:val="7"/>
                <w:szCs w:val="7"/>
                <w:color w:val="auto"/>
              </w:rPr>
            </w:pPr>
          </w:p>
        </w:tc>
        <w:tc>
          <w:tcPr>
            <w:tcW w:w="68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4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w w:val="99"/>
              </w:rPr>
              <w:t>10/27/2023</w:t>
            </w:r>
          </w:p>
        </w:tc>
        <w:tc>
          <w:tcPr>
            <w:tcW w:w="20" w:type="dxa"/>
            <w:vAlign w:val="bottom"/>
          </w:tcPr>
          <w:p>
            <w:pPr>
              <w:spacing w:after="0"/>
              <w:rPr>
                <w:sz w:val="7"/>
                <w:szCs w:val="7"/>
                <w:color w:val="auto"/>
              </w:rPr>
            </w:pPr>
          </w:p>
        </w:tc>
        <w:tc>
          <w:tcPr>
            <w:tcW w:w="90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$ 3,335.76</w:t>
            </w:r>
          </w:p>
        </w:tc>
        <w:tc>
          <w:tcPr>
            <w:tcW w:w="0" w:type="dxa"/>
            <w:vAlign w:val="bottom"/>
          </w:tcPr>
          <w:p>
            <w:pPr>
              <w:spacing w:after="0"/>
              <w:rPr>
                <w:sz w:val="1"/>
                <w:szCs w:val="1"/>
                <w:color w:val="auto"/>
              </w:rPr>
            </w:pPr>
          </w:p>
        </w:tc>
      </w:tr>
      <w:tr>
        <w:trPr>
          <w:trHeight w:val="162"/>
        </w:trPr>
        <w:tc>
          <w:tcPr>
            <w:tcW w:w="76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shd w:val="clear" w:color="auto" w:fill="E7E7E2"/>
          </w:tcPr>
          <w:p>
            <w:pPr>
              <w:ind w:left="20"/>
              <w:spacing w:after="0" w:line="162" w:lineRule="exact"/>
              <w:rPr>
                <w:sz w:val="20"/>
                <w:szCs w:val="20"/>
                <w:color w:val="auto"/>
              </w:rPr>
            </w:pPr>
            <w:r>
              <w:rPr>
                <w:rFonts w:ascii="Arial" w:cs="Arial" w:eastAsia="Arial" w:hAnsi="Arial"/>
                <w:sz w:val="16"/>
                <w:szCs w:val="16"/>
                <w:color w:val="auto"/>
              </w:rPr>
              <w:t>value</w:t>
            </w:r>
          </w:p>
        </w:tc>
        <w:tc>
          <w:tcPr>
            <w:tcW w:w="20" w:type="dxa"/>
            <w:vAlign w:val="bottom"/>
          </w:tcPr>
          <w:p>
            <w:pPr>
              <w:spacing w:after="0"/>
              <w:rPr>
                <w:sz w:val="14"/>
                <w:szCs w:val="14"/>
                <w:color w:val="auto"/>
              </w:rPr>
            </w:pPr>
          </w:p>
        </w:tc>
        <w:tc>
          <w:tcPr>
            <w:tcW w:w="800" w:type="dxa"/>
            <w:vAlign w:val="bottom"/>
            <w:vMerge w:val="continue"/>
            <w:shd w:val="clear" w:color="auto" w:fill="E7E7E2"/>
          </w:tcPr>
          <w:p>
            <w:pPr>
              <w:spacing w:after="0"/>
              <w:rPr>
                <w:sz w:val="14"/>
                <w:szCs w:val="14"/>
                <w:color w:val="auto"/>
              </w:rPr>
            </w:pPr>
          </w:p>
        </w:tc>
        <w:tc>
          <w:tcPr>
            <w:tcW w:w="1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shd w:val="clear" w:color="auto" w:fill="E7E7E2"/>
          </w:tcPr>
          <w:p>
            <w:pPr>
              <w:jc w:val="right"/>
              <w:spacing w:after="0" w:line="162" w:lineRule="exact"/>
              <w:rPr>
                <w:sz w:val="20"/>
                <w:szCs w:val="20"/>
                <w:color w:val="auto"/>
              </w:rPr>
            </w:pPr>
            <w:r>
              <w:rPr>
                <w:rFonts w:ascii="Arial" w:cs="Arial" w:eastAsia="Arial" w:hAnsi="Arial"/>
                <w:sz w:val="16"/>
                <w:szCs w:val="16"/>
                <w:color w:val="auto"/>
              </w:rPr>
              <w:t>22,600,000.00</w:t>
            </w:r>
          </w:p>
        </w:tc>
        <w:tc>
          <w:tcPr>
            <w:tcW w:w="20" w:type="dxa"/>
            <w:vAlign w:val="bottom"/>
          </w:tcPr>
          <w:p>
            <w:pPr>
              <w:spacing w:after="0"/>
              <w:rPr>
                <w:sz w:val="14"/>
                <w:szCs w:val="14"/>
                <w:color w:val="auto"/>
              </w:rPr>
            </w:pPr>
          </w:p>
        </w:tc>
        <w:tc>
          <w:tcPr>
            <w:tcW w:w="8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E7E7E2"/>
          </w:tcPr>
          <w:p>
            <w:pPr>
              <w:jc w:val="center"/>
              <w:spacing w:after="0" w:line="162" w:lineRule="exact"/>
              <w:rPr>
                <w:sz w:val="20"/>
                <w:szCs w:val="20"/>
                <w:color w:val="auto"/>
              </w:rPr>
            </w:pPr>
            <w:r>
              <w:rPr>
                <w:rFonts w:ascii="Arial" w:cs="Arial" w:eastAsia="Arial" w:hAnsi="Arial"/>
                <w:sz w:val="16"/>
                <w:szCs w:val="16"/>
                <w:color w:val="auto"/>
              </w:rPr>
              <w:t>273062</w:t>
            </w:r>
          </w:p>
        </w:tc>
        <w:tc>
          <w:tcPr>
            <w:tcW w:w="20" w:type="dxa"/>
            <w:vAlign w:val="bottom"/>
          </w:tcPr>
          <w:p>
            <w:pPr>
              <w:spacing w:after="0"/>
              <w:rPr>
                <w:sz w:val="14"/>
                <w:szCs w:val="14"/>
                <w:color w:val="auto"/>
              </w:rPr>
            </w:pPr>
          </w:p>
        </w:tc>
        <w:tc>
          <w:tcPr>
            <w:tcW w:w="84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vMerge w:val="continue"/>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760" w:type="dxa"/>
            <w:vAlign w:val="bottom"/>
            <w:shd w:val="clear" w:color="auto" w:fill="E7E7E2"/>
          </w:tcPr>
          <w:p>
            <w:pPr>
              <w:spacing w:after="0" w:line="181" w:lineRule="exact"/>
              <w:rPr>
                <w:sz w:val="20"/>
                <w:szCs w:val="20"/>
                <w:color w:val="auto"/>
              </w:rPr>
            </w:pPr>
            <w:r>
              <w:rPr>
                <w:rFonts w:ascii="Arial" w:cs="Arial" w:eastAsia="Arial" w:hAnsi="Arial"/>
                <w:sz w:val="16"/>
                <w:szCs w:val="16"/>
                <w:color w:val="auto"/>
              </w:rPr>
              <w:t>Securities</w:t>
            </w:r>
          </w:p>
        </w:tc>
        <w:tc>
          <w:tcPr>
            <w:tcW w:w="20" w:type="dxa"/>
            <w:vAlign w:val="bottom"/>
          </w:tcPr>
          <w:p>
            <w:pPr>
              <w:spacing w:after="0"/>
              <w:rPr>
                <w:sz w:val="17"/>
                <w:szCs w:val="17"/>
                <w:color w:val="auto"/>
              </w:rPr>
            </w:pPr>
          </w:p>
        </w:tc>
        <w:tc>
          <w:tcPr>
            <w:tcW w:w="10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shd w:val="clear" w:color="auto" w:fill="E7E7E2"/>
          </w:tcPr>
          <w:p>
            <w:pPr>
              <w:ind w:left="20"/>
              <w:spacing w:after="0"/>
              <w:rPr>
                <w:sz w:val="20"/>
                <w:szCs w:val="20"/>
                <w:color w:val="auto"/>
              </w:rPr>
            </w:pPr>
            <w:r>
              <w:rPr>
                <w:rFonts w:ascii="Arial" w:cs="Arial" w:eastAsia="Arial" w:hAnsi="Arial"/>
                <w:sz w:val="16"/>
                <w:szCs w:val="16"/>
                <w:color w:val="auto"/>
                <w:w w:val="99"/>
              </w:rPr>
              <w:t>$0.001 per</w:t>
            </w:r>
          </w:p>
        </w:tc>
        <w:tc>
          <w:tcPr>
            <w:tcW w:w="20" w:type="dxa"/>
            <w:vAlign w:val="bottom"/>
          </w:tcPr>
          <w:p>
            <w:pPr>
              <w:spacing w:after="0"/>
              <w:rPr>
                <w:sz w:val="17"/>
                <w:szCs w:val="17"/>
                <w:color w:val="auto"/>
              </w:rPr>
            </w:pPr>
          </w:p>
        </w:tc>
        <w:tc>
          <w:tcPr>
            <w:tcW w:w="800" w:type="dxa"/>
            <w:vAlign w:val="bottom"/>
            <w:shd w:val="clear" w:color="auto" w:fill="E7E7E2"/>
          </w:tcPr>
          <w:p>
            <w:pPr>
              <w:spacing w:after="0"/>
              <w:rPr>
                <w:sz w:val="17"/>
                <w:szCs w:val="17"/>
                <w:color w:val="auto"/>
              </w:rPr>
            </w:pPr>
          </w:p>
        </w:tc>
        <w:tc>
          <w:tcPr>
            <w:tcW w:w="10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14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shd w:val="clear" w:color="auto" w:fill="E7E7E2"/>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7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shd w:val="clear" w:color="auto" w:fill="E7E7E2"/>
          </w:tcPr>
          <w:p>
            <w:pPr>
              <w:ind w:left="20"/>
              <w:spacing w:after="0"/>
              <w:rPr>
                <w:sz w:val="20"/>
                <w:szCs w:val="20"/>
                <w:color w:val="auto"/>
              </w:rPr>
            </w:pPr>
            <w:r>
              <w:rPr>
                <w:rFonts w:ascii="Arial" w:cs="Arial" w:eastAsia="Arial" w:hAnsi="Arial"/>
                <w:sz w:val="16"/>
                <w:szCs w:val="16"/>
                <w:color w:val="auto"/>
              </w:rPr>
              <w:t>share</w:t>
            </w:r>
          </w:p>
        </w:tc>
        <w:tc>
          <w:tcPr>
            <w:tcW w:w="20" w:type="dxa"/>
            <w:vAlign w:val="bottom"/>
          </w:tcPr>
          <w:p>
            <w:pPr>
              <w:spacing w:after="0"/>
              <w:rPr>
                <w:sz w:val="18"/>
                <w:szCs w:val="18"/>
                <w:color w:val="auto"/>
              </w:rPr>
            </w:pPr>
          </w:p>
        </w:tc>
        <w:tc>
          <w:tcPr>
            <w:tcW w:w="800" w:type="dxa"/>
            <w:vAlign w:val="bottom"/>
            <w:shd w:val="clear" w:color="auto" w:fill="E7E7E2"/>
          </w:tcPr>
          <w:p>
            <w:pPr>
              <w:spacing w:after="0"/>
              <w:rPr>
                <w:sz w:val="18"/>
                <w:szCs w:val="18"/>
                <w:color w:val="auto"/>
              </w:rPr>
            </w:pPr>
          </w:p>
        </w:tc>
        <w:tc>
          <w:tcPr>
            <w:tcW w:w="1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7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shd w:val="clear" w:color="auto" w:fill="E7E7E2"/>
          </w:tcPr>
          <w:p>
            <w:pPr>
              <w:ind w:left="20"/>
              <w:spacing w:after="0" w:line="171" w:lineRule="exact"/>
              <w:rPr>
                <w:sz w:val="20"/>
                <w:szCs w:val="20"/>
                <w:color w:val="auto"/>
              </w:rPr>
            </w:pPr>
            <w:r>
              <w:rPr>
                <w:rFonts w:ascii="Arial" w:cs="Arial" w:eastAsia="Arial" w:hAnsi="Arial"/>
                <w:sz w:val="16"/>
                <w:szCs w:val="16"/>
                <w:color w:val="auto"/>
              </w:rPr>
              <w:t>Class A</w:t>
            </w:r>
          </w:p>
        </w:tc>
        <w:tc>
          <w:tcPr>
            <w:tcW w:w="20" w:type="dxa"/>
            <w:vAlign w:val="bottom"/>
          </w:tcPr>
          <w:p>
            <w:pPr>
              <w:spacing w:after="0"/>
              <w:rPr>
                <w:sz w:val="14"/>
                <w:szCs w:val="14"/>
                <w:color w:val="auto"/>
              </w:rPr>
            </w:pPr>
          </w:p>
        </w:tc>
        <w:tc>
          <w:tcPr>
            <w:tcW w:w="800" w:type="dxa"/>
            <w:vAlign w:val="bottom"/>
            <w:shd w:val="clear" w:color="auto" w:fill="E7E7E2"/>
          </w:tcPr>
          <w:p>
            <w:pPr>
              <w:spacing w:after="0"/>
              <w:rPr>
                <w:sz w:val="14"/>
                <w:szCs w:val="14"/>
                <w:color w:val="auto"/>
              </w:rPr>
            </w:pPr>
          </w:p>
        </w:tc>
        <w:tc>
          <w:tcPr>
            <w:tcW w:w="1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76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Carry</w:t>
            </w:r>
          </w:p>
        </w:tc>
        <w:tc>
          <w:tcPr>
            <w:tcW w:w="20" w:type="dxa"/>
            <w:vAlign w:val="bottom"/>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ind w:left="20"/>
              <w:spacing w:after="0" w:line="181" w:lineRule="exact"/>
              <w:rPr>
                <w:sz w:val="20"/>
                <w:szCs w:val="20"/>
                <w:color w:val="auto"/>
              </w:rPr>
            </w:pPr>
            <w:r>
              <w:rPr>
                <w:rFonts w:ascii="Arial" w:cs="Arial" w:eastAsia="Arial" w:hAnsi="Arial"/>
                <w:sz w:val="16"/>
                <w:szCs w:val="16"/>
                <w:color w:val="auto"/>
              </w:rPr>
              <w:t>Common</w:t>
            </w: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91"/>
        </w:trPr>
        <w:tc>
          <w:tcPr>
            <w:tcW w:w="76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vMerge w:val="restart"/>
            <w:shd w:val="clear" w:color="auto" w:fill="E7E7E2"/>
          </w:tcPr>
          <w:p>
            <w:pPr>
              <w:ind w:left="20"/>
              <w:spacing w:after="0" w:line="181" w:lineRule="exact"/>
              <w:rPr>
                <w:sz w:val="20"/>
                <w:szCs w:val="20"/>
                <w:color w:val="auto"/>
              </w:rPr>
            </w:pPr>
            <w:r>
              <w:rPr>
                <w:rFonts w:ascii="Arial" w:cs="Arial" w:eastAsia="Arial" w:hAnsi="Arial"/>
                <w:sz w:val="16"/>
                <w:szCs w:val="16"/>
                <w:color w:val="auto"/>
              </w:rPr>
              <w:t>Stock, par</w:t>
            </w:r>
          </w:p>
        </w:tc>
        <w:tc>
          <w:tcPr>
            <w:tcW w:w="20" w:type="dxa"/>
            <w:vAlign w:val="bottom"/>
          </w:tcPr>
          <w:p>
            <w:pPr>
              <w:spacing w:after="0"/>
              <w:rPr>
                <w:sz w:val="7"/>
                <w:szCs w:val="7"/>
                <w:color w:val="auto"/>
              </w:rPr>
            </w:pPr>
          </w:p>
        </w:tc>
        <w:tc>
          <w:tcPr>
            <w:tcW w:w="800" w:type="dxa"/>
            <w:vAlign w:val="bottom"/>
            <w:shd w:val="clear" w:color="auto" w:fill="E7E7E2"/>
          </w:tcPr>
          <w:p>
            <w:pPr>
              <w:spacing w:after="0"/>
              <w:rPr>
                <w:sz w:val="7"/>
                <w:szCs w:val="7"/>
                <w:color w:val="auto"/>
              </w:rPr>
            </w:pPr>
          </w:p>
        </w:tc>
        <w:tc>
          <w:tcPr>
            <w:tcW w:w="1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14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vMerge w:val="restart"/>
            <w:shd w:val="clear" w:color="auto" w:fill="E7E7E2"/>
          </w:tcPr>
          <w:p>
            <w:pPr>
              <w:jc w:val="center"/>
              <w:spacing w:after="0" w:line="181" w:lineRule="exact"/>
              <w:rPr>
                <w:sz w:val="20"/>
                <w:szCs w:val="20"/>
                <w:color w:val="auto"/>
              </w:rPr>
            </w:pPr>
            <w:r>
              <w:rPr>
                <w:rFonts w:ascii="Arial" w:cs="Arial" w:eastAsia="Arial" w:hAnsi="Arial"/>
                <w:sz w:val="16"/>
                <w:szCs w:val="16"/>
                <w:color w:val="auto"/>
                <w:w w:val="99"/>
              </w:rPr>
              <w:t>333-</w:t>
            </w:r>
          </w:p>
        </w:tc>
        <w:tc>
          <w:tcPr>
            <w:tcW w:w="20" w:type="dxa"/>
            <w:vAlign w:val="bottom"/>
          </w:tcPr>
          <w:p>
            <w:pPr>
              <w:spacing w:after="0"/>
              <w:rPr>
                <w:sz w:val="7"/>
                <w:szCs w:val="7"/>
                <w:color w:val="auto"/>
              </w:rPr>
            </w:pPr>
          </w:p>
        </w:tc>
        <w:tc>
          <w:tcPr>
            <w:tcW w:w="84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shd w:val="clear" w:color="auto" w:fill="E7E7E2"/>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76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Forward</w:t>
            </w:r>
          </w:p>
        </w:tc>
        <w:tc>
          <w:tcPr>
            <w:tcW w:w="20" w:type="dxa"/>
            <w:vAlign w:val="bottom"/>
          </w:tcPr>
          <w:p>
            <w:pPr>
              <w:spacing w:after="0"/>
              <w:rPr>
                <w:sz w:val="7"/>
                <w:szCs w:val="7"/>
                <w:color w:val="auto"/>
              </w:rPr>
            </w:pPr>
          </w:p>
        </w:tc>
        <w:tc>
          <w:tcPr>
            <w:tcW w:w="10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w w:val="89"/>
              </w:rPr>
              <w:t>5</w:t>
            </w:r>
          </w:p>
        </w:tc>
        <w:tc>
          <w:tcPr>
            <w:tcW w:w="20" w:type="dxa"/>
            <w:vAlign w:val="bottom"/>
          </w:tcPr>
          <w:p>
            <w:pPr>
              <w:spacing w:after="0"/>
              <w:rPr>
                <w:sz w:val="7"/>
                <w:szCs w:val="7"/>
                <w:color w:val="auto"/>
              </w:rPr>
            </w:pPr>
          </w:p>
        </w:tc>
        <w:tc>
          <w:tcPr>
            <w:tcW w:w="880" w:type="dxa"/>
            <w:vAlign w:val="bottom"/>
            <w:vMerge w:val="restart"/>
            <w:shd w:val="clear" w:color="auto" w:fill="E7E7E2"/>
          </w:tcPr>
          <w:p>
            <w:pPr>
              <w:ind w:left="20"/>
              <w:spacing w:after="0"/>
              <w:rPr>
                <w:sz w:val="20"/>
                <w:szCs w:val="20"/>
                <w:color w:val="auto"/>
              </w:rPr>
            </w:pPr>
            <w:r>
              <w:rPr>
                <w:rFonts w:ascii="Arial" w:cs="Arial" w:eastAsia="Arial" w:hAnsi="Arial"/>
                <w:sz w:val="16"/>
                <w:szCs w:val="16"/>
                <w:color w:val="auto"/>
              </w:rPr>
              <w:t>Equity</w:t>
            </w:r>
          </w:p>
        </w:tc>
        <w:tc>
          <w:tcPr>
            <w:tcW w:w="20" w:type="dxa"/>
            <w:vAlign w:val="bottom"/>
          </w:tcPr>
          <w:p>
            <w:pPr>
              <w:spacing w:after="0"/>
              <w:rPr>
                <w:sz w:val="7"/>
                <w:szCs w:val="7"/>
                <w:color w:val="auto"/>
              </w:rPr>
            </w:pPr>
          </w:p>
        </w:tc>
        <w:tc>
          <w:tcPr>
            <w:tcW w:w="80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vMerge w:val="restart"/>
            <w:shd w:val="clear" w:color="auto" w:fill="E7E7E2"/>
          </w:tcPr>
          <w:p>
            <w:pPr>
              <w:jc w:val="center"/>
              <w:ind w:left="19"/>
              <w:spacing w:after="0"/>
              <w:rPr>
                <w:sz w:val="20"/>
                <w:szCs w:val="20"/>
                <w:color w:val="auto"/>
              </w:rPr>
            </w:pPr>
            <w:r>
              <w:rPr>
                <w:rFonts w:ascii="Arial" w:cs="Arial" w:eastAsia="Arial" w:hAnsi="Arial"/>
                <w:sz w:val="16"/>
                <w:szCs w:val="16"/>
                <w:color w:val="auto"/>
              </w:rPr>
              <w:t>415(a)(6)</w:t>
            </w:r>
          </w:p>
        </w:tc>
        <w:tc>
          <w:tcPr>
            <w:tcW w:w="1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6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400,000</w:t>
            </w:r>
          </w:p>
        </w:tc>
        <w:tc>
          <w:tcPr>
            <w:tcW w:w="20" w:type="dxa"/>
            <w:vAlign w:val="bottom"/>
          </w:tcPr>
          <w:p>
            <w:pPr>
              <w:spacing w:after="0"/>
              <w:rPr>
                <w:sz w:val="7"/>
                <w:szCs w:val="7"/>
                <w:color w:val="auto"/>
              </w:rPr>
            </w:pPr>
          </w:p>
        </w:tc>
        <w:tc>
          <w:tcPr>
            <w:tcW w:w="7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14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$ 40.00</w:t>
            </w:r>
          </w:p>
        </w:tc>
        <w:tc>
          <w:tcPr>
            <w:tcW w:w="20" w:type="dxa"/>
            <w:vAlign w:val="bottom"/>
          </w:tcPr>
          <w:p>
            <w:pPr>
              <w:spacing w:after="0"/>
              <w:rPr>
                <w:sz w:val="7"/>
                <w:szCs w:val="7"/>
                <w:color w:val="auto"/>
              </w:rPr>
            </w:pPr>
          </w:p>
        </w:tc>
        <w:tc>
          <w:tcPr>
            <w:tcW w:w="8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vMerge w:val="restart"/>
            <w:shd w:val="clear" w:color="auto" w:fill="E7E7E2"/>
          </w:tcPr>
          <w:p>
            <w:pPr>
              <w:ind w:left="220"/>
              <w:spacing w:after="0"/>
              <w:rPr>
                <w:sz w:val="20"/>
                <w:szCs w:val="20"/>
                <w:color w:val="auto"/>
              </w:rPr>
            </w:pPr>
            <w:r>
              <w:rPr>
                <w:rFonts w:ascii="Arial" w:cs="Arial" w:eastAsia="Arial" w:hAnsi="Arial"/>
                <w:sz w:val="16"/>
                <w:szCs w:val="16"/>
                <w:color w:val="auto"/>
              </w:rPr>
              <w:t>S-3</w:t>
            </w:r>
          </w:p>
        </w:tc>
        <w:tc>
          <w:tcPr>
            <w:tcW w:w="20" w:type="dxa"/>
            <w:vAlign w:val="bottom"/>
          </w:tcPr>
          <w:p>
            <w:pPr>
              <w:spacing w:after="0"/>
              <w:rPr>
                <w:sz w:val="7"/>
                <w:szCs w:val="7"/>
                <w:color w:val="auto"/>
              </w:rPr>
            </w:pPr>
          </w:p>
        </w:tc>
        <w:tc>
          <w:tcPr>
            <w:tcW w:w="68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4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w w:val="99"/>
              </w:rPr>
              <w:t>10/27/2023</w:t>
            </w:r>
          </w:p>
        </w:tc>
        <w:tc>
          <w:tcPr>
            <w:tcW w:w="20" w:type="dxa"/>
            <w:vAlign w:val="bottom"/>
          </w:tcPr>
          <w:p>
            <w:pPr>
              <w:spacing w:after="0"/>
              <w:rPr>
                <w:sz w:val="7"/>
                <w:szCs w:val="7"/>
                <w:color w:val="auto"/>
              </w:rPr>
            </w:pPr>
          </w:p>
        </w:tc>
        <w:tc>
          <w:tcPr>
            <w:tcW w:w="90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$ 0.01</w:t>
            </w:r>
          </w:p>
        </w:tc>
        <w:tc>
          <w:tcPr>
            <w:tcW w:w="0" w:type="dxa"/>
            <w:vAlign w:val="bottom"/>
          </w:tcPr>
          <w:p>
            <w:pPr>
              <w:spacing w:after="0"/>
              <w:rPr>
                <w:sz w:val="1"/>
                <w:szCs w:val="1"/>
                <w:color w:val="auto"/>
              </w:rPr>
            </w:pPr>
          </w:p>
        </w:tc>
      </w:tr>
      <w:tr>
        <w:trPr>
          <w:trHeight w:val="162"/>
        </w:trPr>
        <w:tc>
          <w:tcPr>
            <w:tcW w:w="76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shd w:val="clear" w:color="auto" w:fill="E7E7E2"/>
          </w:tcPr>
          <w:p>
            <w:pPr>
              <w:ind w:left="20"/>
              <w:spacing w:after="0" w:line="162" w:lineRule="exact"/>
              <w:rPr>
                <w:sz w:val="20"/>
                <w:szCs w:val="20"/>
                <w:color w:val="auto"/>
              </w:rPr>
            </w:pPr>
            <w:r>
              <w:rPr>
                <w:rFonts w:ascii="Arial" w:cs="Arial" w:eastAsia="Arial" w:hAnsi="Arial"/>
                <w:sz w:val="16"/>
                <w:szCs w:val="16"/>
                <w:color w:val="auto"/>
              </w:rPr>
              <w:t>value</w:t>
            </w:r>
          </w:p>
        </w:tc>
        <w:tc>
          <w:tcPr>
            <w:tcW w:w="20" w:type="dxa"/>
            <w:vAlign w:val="bottom"/>
          </w:tcPr>
          <w:p>
            <w:pPr>
              <w:spacing w:after="0"/>
              <w:rPr>
                <w:sz w:val="14"/>
                <w:szCs w:val="14"/>
                <w:color w:val="auto"/>
              </w:rPr>
            </w:pPr>
          </w:p>
        </w:tc>
        <w:tc>
          <w:tcPr>
            <w:tcW w:w="800" w:type="dxa"/>
            <w:vAlign w:val="bottom"/>
            <w:vMerge w:val="continue"/>
            <w:shd w:val="clear" w:color="auto" w:fill="E7E7E2"/>
          </w:tcPr>
          <w:p>
            <w:pPr>
              <w:spacing w:after="0"/>
              <w:rPr>
                <w:sz w:val="14"/>
                <w:szCs w:val="14"/>
                <w:color w:val="auto"/>
              </w:rPr>
            </w:pPr>
          </w:p>
        </w:tc>
        <w:tc>
          <w:tcPr>
            <w:tcW w:w="1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E7E7E2"/>
          </w:tcPr>
          <w:p>
            <w:pPr>
              <w:jc w:val="center"/>
              <w:spacing w:after="0" w:line="162" w:lineRule="exact"/>
              <w:rPr>
                <w:sz w:val="20"/>
                <w:szCs w:val="20"/>
                <w:color w:val="auto"/>
              </w:rPr>
            </w:pPr>
            <w:r>
              <w:rPr>
                <w:rFonts w:ascii="Arial" w:cs="Arial" w:eastAsia="Arial" w:hAnsi="Arial"/>
                <w:sz w:val="16"/>
                <w:szCs w:val="16"/>
                <w:color w:val="auto"/>
              </w:rPr>
              <w:t>273062</w:t>
            </w:r>
          </w:p>
        </w:tc>
        <w:tc>
          <w:tcPr>
            <w:tcW w:w="20" w:type="dxa"/>
            <w:vAlign w:val="bottom"/>
          </w:tcPr>
          <w:p>
            <w:pPr>
              <w:spacing w:after="0"/>
              <w:rPr>
                <w:sz w:val="14"/>
                <w:szCs w:val="14"/>
                <w:color w:val="auto"/>
              </w:rPr>
            </w:pPr>
          </w:p>
        </w:tc>
        <w:tc>
          <w:tcPr>
            <w:tcW w:w="84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vMerge w:val="continue"/>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760" w:type="dxa"/>
            <w:vAlign w:val="bottom"/>
            <w:shd w:val="clear" w:color="auto" w:fill="E7E7E2"/>
          </w:tcPr>
          <w:p>
            <w:pPr>
              <w:spacing w:after="0" w:line="181" w:lineRule="exact"/>
              <w:rPr>
                <w:sz w:val="20"/>
                <w:szCs w:val="20"/>
                <w:color w:val="auto"/>
              </w:rPr>
            </w:pPr>
            <w:r>
              <w:rPr>
                <w:rFonts w:ascii="Arial" w:cs="Arial" w:eastAsia="Arial" w:hAnsi="Arial"/>
                <w:sz w:val="16"/>
                <w:szCs w:val="16"/>
                <w:color w:val="auto"/>
              </w:rPr>
              <w:t>Securities</w:t>
            </w:r>
          </w:p>
        </w:tc>
        <w:tc>
          <w:tcPr>
            <w:tcW w:w="20" w:type="dxa"/>
            <w:vAlign w:val="bottom"/>
          </w:tcPr>
          <w:p>
            <w:pPr>
              <w:spacing w:after="0"/>
              <w:rPr>
                <w:sz w:val="17"/>
                <w:szCs w:val="17"/>
                <w:color w:val="auto"/>
              </w:rPr>
            </w:pPr>
          </w:p>
        </w:tc>
        <w:tc>
          <w:tcPr>
            <w:tcW w:w="10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shd w:val="clear" w:color="auto" w:fill="E7E7E2"/>
          </w:tcPr>
          <w:p>
            <w:pPr>
              <w:ind w:left="20"/>
              <w:spacing w:after="0"/>
              <w:rPr>
                <w:sz w:val="20"/>
                <w:szCs w:val="20"/>
                <w:color w:val="auto"/>
              </w:rPr>
            </w:pPr>
            <w:r>
              <w:rPr>
                <w:rFonts w:ascii="Arial" w:cs="Arial" w:eastAsia="Arial" w:hAnsi="Arial"/>
                <w:sz w:val="16"/>
                <w:szCs w:val="16"/>
                <w:color w:val="auto"/>
                <w:w w:val="99"/>
              </w:rPr>
              <w:t>$0.001 per</w:t>
            </w:r>
          </w:p>
        </w:tc>
        <w:tc>
          <w:tcPr>
            <w:tcW w:w="20" w:type="dxa"/>
            <w:vAlign w:val="bottom"/>
          </w:tcPr>
          <w:p>
            <w:pPr>
              <w:spacing w:after="0"/>
              <w:rPr>
                <w:sz w:val="17"/>
                <w:szCs w:val="17"/>
                <w:color w:val="auto"/>
              </w:rPr>
            </w:pPr>
          </w:p>
        </w:tc>
        <w:tc>
          <w:tcPr>
            <w:tcW w:w="800" w:type="dxa"/>
            <w:vAlign w:val="bottom"/>
            <w:shd w:val="clear" w:color="auto" w:fill="E7E7E2"/>
          </w:tcPr>
          <w:p>
            <w:pPr>
              <w:spacing w:after="0"/>
              <w:rPr>
                <w:sz w:val="17"/>
                <w:szCs w:val="17"/>
                <w:color w:val="auto"/>
              </w:rPr>
            </w:pPr>
          </w:p>
        </w:tc>
        <w:tc>
          <w:tcPr>
            <w:tcW w:w="10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14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shd w:val="clear" w:color="auto" w:fill="E7E7E2"/>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7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shd w:val="clear" w:color="auto" w:fill="E7E7E2"/>
          </w:tcPr>
          <w:p>
            <w:pPr>
              <w:ind w:left="20"/>
              <w:spacing w:after="0"/>
              <w:rPr>
                <w:sz w:val="20"/>
                <w:szCs w:val="20"/>
                <w:color w:val="auto"/>
              </w:rPr>
            </w:pPr>
            <w:r>
              <w:rPr>
                <w:rFonts w:ascii="Arial" w:cs="Arial" w:eastAsia="Arial" w:hAnsi="Arial"/>
                <w:sz w:val="16"/>
                <w:szCs w:val="16"/>
                <w:color w:val="auto"/>
              </w:rPr>
              <w:t>share</w:t>
            </w:r>
          </w:p>
        </w:tc>
        <w:tc>
          <w:tcPr>
            <w:tcW w:w="20" w:type="dxa"/>
            <w:vAlign w:val="bottom"/>
          </w:tcPr>
          <w:p>
            <w:pPr>
              <w:spacing w:after="0"/>
              <w:rPr>
                <w:sz w:val="18"/>
                <w:szCs w:val="18"/>
                <w:color w:val="auto"/>
              </w:rPr>
            </w:pPr>
          </w:p>
        </w:tc>
        <w:tc>
          <w:tcPr>
            <w:tcW w:w="800" w:type="dxa"/>
            <w:vAlign w:val="bottom"/>
            <w:shd w:val="clear" w:color="auto" w:fill="E7E7E2"/>
          </w:tcPr>
          <w:p>
            <w:pPr>
              <w:spacing w:after="0"/>
              <w:rPr>
                <w:sz w:val="18"/>
                <w:szCs w:val="18"/>
                <w:color w:val="auto"/>
              </w:rPr>
            </w:pPr>
          </w:p>
        </w:tc>
        <w:tc>
          <w:tcPr>
            <w:tcW w:w="1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780" w:type="dxa"/>
            <w:vAlign w:val="bottom"/>
            <w:gridSpan w:val="4"/>
          </w:tcPr>
          <w:p>
            <w:pPr>
              <w:jc w:val="right"/>
              <w:spacing w:after="0"/>
              <w:rPr>
                <w:sz w:val="20"/>
                <w:szCs w:val="20"/>
                <w:color w:val="auto"/>
              </w:rPr>
            </w:pPr>
            <w:r>
              <w:rPr>
                <w:rFonts w:ascii="Arial" w:cs="Arial" w:eastAsia="Arial" w:hAnsi="Arial"/>
                <w:sz w:val="16"/>
                <w:szCs w:val="16"/>
                <w:color w:val="auto"/>
              </w:rPr>
              <w:t>Total Offering Amounts:</w:t>
            </w:r>
          </w:p>
        </w:tc>
        <w:tc>
          <w:tcPr>
            <w:tcW w:w="1940" w:type="dxa"/>
            <w:vAlign w:val="bottom"/>
            <w:gridSpan w:val="4"/>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$ 27,620.00</w:t>
            </w: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940" w:type="dxa"/>
            <w:vAlign w:val="bottom"/>
            <w:gridSpan w:val="4"/>
          </w:tcPr>
          <w:p>
            <w:pPr>
              <w:jc w:val="right"/>
              <w:spacing w:after="0"/>
              <w:rPr>
                <w:sz w:val="20"/>
                <w:szCs w:val="20"/>
                <w:color w:val="auto"/>
              </w:rPr>
            </w:pPr>
            <w:r>
              <w:rPr>
                <w:rFonts w:ascii="Arial" w:cs="Arial" w:eastAsia="Arial" w:hAnsi="Arial"/>
                <w:sz w:val="16"/>
                <w:szCs w:val="16"/>
                <w:color w:val="auto"/>
              </w:rPr>
              <w:t>226,595,140.00</w:t>
            </w: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0" w:type="dxa"/>
            <w:vAlign w:val="bottom"/>
            <w:gridSpan w:val="6"/>
          </w:tcPr>
          <w:p>
            <w:pPr>
              <w:jc w:val="right"/>
              <w:spacing w:after="0"/>
              <w:rPr>
                <w:sz w:val="20"/>
                <w:szCs w:val="20"/>
                <w:color w:val="auto"/>
              </w:rPr>
            </w:pPr>
            <w:r>
              <w:rPr>
                <w:rFonts w:ascii="Arial" w:cs="Arial" w:eastAsia="Arial" w:hAnsi="Arial"/>
                <w:sz w:val="16"/>
                <w:szCs w:val="16"/>
                <w:color w:val="auto"/>
              </w:rPr>
              <w:t>Total Fees Previously Paid:</w:t>
            </w: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$ 0.00</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80" w:type="dxa"/>
            <w:vAlign w:val="bottom"/>
            <w:gridSpan w:val="4"/>
          </w:tcPr>
          <w:p>
            <w:pPr>
              <w:jc w:val="right"/>
              <w:spacing w:after="0"/>
              <w:rPr>
                <w:sz w:val="20"/>
                <w:szCs w:val="20"/>
                <w:color w:val="auto"/>
              </w:rPr>
            </w:pPr>
            <w:r>
              <w:rPr>
                <w:rFonts w:ascii="Arial" w:cs="Arial" w:eastAsia="Arial" w:hAnsi="Arial"/>
                <w:sz w:val="16"/>
                <w:szCs w:val="16"/>
                <w:color w:val="auto"/>
              </w:rPr>
              <w:t>Total Fee Offsets:</w:t>
            </w: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$ 0.00</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80" w:type="dxa"/>
            <w:vAlign w:val="bottom"/>
            <w:gridSpan w:val="3"/>
          </w:tcPr>
          <w:p>
            <w:pPr>
              <w:jc w:val="right"/>
              <w:spacing w:after="0"/>
              <w:rPr>
                <w:sz w:val="20"/>
                <w:szCs w:val="20"/>
                <w:color w:val="auto"/>
              </w:rPr>
            </w:pPr>
            <w:r>
              <w:rPr>
                <w:rFonts w:ascii="Arial" w:cs="Arial" w:eastAsia="Arial" w:hAnsi="Arial"/>
                <w:sz w:val="16"/>
                <w:szCs w:val="16"/>
                <w:color w:val="auto"/>
                <w:w w:val="98"/>
              </w:rPr>
              <w:t>Net Fee Due:</w:t>
            </w: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$ 27,620.00</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4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Offering Note</w:t>
      </w:r>
    </w:p>
    <w:p>
      <w:pPr>
        <w:spacing w:after="0" w:line="108" w:lineRule="exact"/>
        <w:rPr>
          <w:sz w:val="20"/>
          <w:szCs w:val="20"/>
          <w:color w:val="auto"/>
        </w:rPr>
      </w:pPr>
    </w:p>
    <w:p>
      <w:pPr>
        <w:ind w:left="200" w:right="100" w:hanging="169"/>
        <w:spacing w:after="0" w:line="235" w:lineRule="auto"/>
        <w:tabs>
          <w:tab w:leader="none" w:pos="200" w:val="left"/>
        </w:tabs>
        <w:numPr>
          <w:ilvl w:val="0"/>
          <w:numId w:val="100"/>
        </w:numPr>
        <w:rPr>
          <w:rFonts w:ascii="Arial" w:cs="Arial" w:eastAsia="Arial" w:hAnsi="Arial"/>
          <w:sz w:val="20"/>
          <w:szCs w:val="20"/>
          <w:color w:val="auto"/>
          <w:vertAlign w:val="superscript"/>
        </w:rPr>
      </w:pPr>
      <w:r>
        <w:rPr>
          <w:rFonts w:ascii="Arial" w:cs="Arial" w:eastAsia="Arial" w:hAnsi="Arial"/>
          <w:sz w:val="16"/>
          <w:szCs w:val="16"/>
          <w:color w:val="auto"/>
        </w:rPr>
        <w:t>There are being registered hereunder an indeterminate number of each identified class of securities of Cibus, Inc. (the "Registrant"). If the Registrant elects to offer to the public fractional interests in shares of preferred stock, then depositary receipts will be distributed to those persons purchasing the fractional interests and the shares of preferred stock will be issued to the depositary under the deposit agreement. The securities registered also include such indeterminate amount of securities as may be issued in exchange for, or upon conversion or exercise of, as the case may be, the preferred stock, depositary shares, warrants or subscription rights registered hereunder or pursuant to the antidilution provisions of any such securities. Any securities registered hereunder may be sold separately or as units with other securities registered hereunder. In no event will the aggregate offering price of all types of securities issued by the registrant pursuant to this registration statement exceed $200,000,000. Pursuant to Rule 416 under the Securities Act of 1933, as amended (the "Securities Act"), this registration statement also covers such indeterminate number of securities as may be issuable with respect to the securities being registered hereunder as a result of stock splits, stock dividends or similar transactions. The amount registered, the proposed maximum offering price per unit and the maximum aggregate offering price for each class of security will be determined from time to time by the registrant in connection with the issuance by the registrant of the securities registered hereunder and are not specified as to each class of security pursuant to Instructions 2.A.ii.b. and 2.A.iii.b. to the Calculation of Filing Fee Tables and Related Disclosure under Item 16(b) of Form S-3 under the Securities Act.</w:t>
      </w:r>
    </w:p>
    <w:p>
      <w:pPr>
        <w:sectPr>
          <w:pgSz w:w="11900" w:h="16838" w:orient="portrait"/>
          <w:cols w:equalWidth="0" w:num="1">
            <w:col w:w="11360"/>
          </w:cols>
          <w:pgMar w:left="300" w:top="141" w:right="239" w:bottom="0" w:gutter="0" w:footer="0" w:header="0"/>
        </w:sectPr>
      </w:pPr>
    </w:p>
    <w:bookmarkStart w:id="154" w:name="page155"/>
    <w:bookmarkEnd w:id="154"/>
    <w:p>
      <w:pPr>
        <w:ind w:left="200" w:right="100" w:hanging="169"/>
        <w:spacing w:after="0" w:line="233" w:lineRule="auto"/>
        <w:tabs>
          <w:tab w:leader="none" w:pos="200" w:val="left"/>
        </w:tabs>
        <w:numPr>
          <w:ilvl w:val="0"/>
          <w:numId w:val="101"/>
        </w:numPr>
        <w:rPr>
          <w:rFonts w:ascii="Arial" w:cs="Arial" w:eastAsia="Arial" w:hAnsi="Arial"/>
          <w:sz w:val="20"/>
          <w:szCs w:val="20"/>
          <w:color w:val="auto"/>
          <w:vertAlign w:val="superscript"/>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197485</wp:posOffset>
            </wp:positionH>
            <wp:positionV relativeFrom="page">
              <wp:posOffset>88900</wp:posOffset>
            </wp:positionV>
            <wp:extent cx="7153910" cy="254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42">
                      <a:extLst>
                        <a:ext uri="{28A0092B-C50C-407E-A947-70E740481C1C}"/>
                      </a:extLst>
                    </a:blip>
                    <a:srcRect/>
                    <a:stretch>
                      <a:fillRect/>
                    </a:stretch>
                  </pic:blipFill>
                  <pic:spPr bwMode="auto">
                    <a:xfrm>
                      <a:off x="0" y="0"/>
                      <a:ext cx="7153910" cy="25400"/>
                    </a:xfrm>
                    <a:prstGeom prst="rect">
                      <a:avLst/>
                    </a:prstGeom>
                    <a:noFill/>
                  </pic:spPr>
                </pic:pic>
              </a:graphicData>
            </a:graphic>
          </wp:anchor>
        </w:drawing>
        <w:t>Pursuant to Rule 415(a)(6) under the Securities Act, this Registration Statement includes an aggregate of 10,738,040 shares of Class A Common Stock issuable upon the exercise of outstanding warrants that were previously registered, but were not sold (the "Unsold Securities"), pursuant to the Company's registration statement on Form S-3 (File No. 333-273062), which was declared effective by the Securities and Exchange Commission on October 27, 2023 (the "Prior Registration Statement"). The registration fee with respect to the Unsold Securities, totaling $3,925.44, will continue to be applied to the Unsold Securities and no fees are due with respect to such shares. In accordance with Rule 415(a)(6), the offering of securities registered under the Prior Registration Statement will be terminated as of the date of effectiveness of this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53910" cy="3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43">
                      <a:extLst>
                        <a:ext uri="{28A0092B-C50C-407E-A947-70E740481C1C}"/>
                      </a:extLst>
                    </a:blip>
                    <a:srcRect/>
                    <a:stretch>
                      <a:fillRect/>
                    </a:stretch>
                  </pic:blipFill>
                  <pic:spPr bwMode="auto">
                    <a:xfrm>
                      <a:off x="0" y="0"/>
                      <a:ext cx="7153910" cy="38100"/>
                    </a:xfrm>
                    <a:prstGeom prst="rect">
                      <a:avLst/>
                    </a:prstGeom>
                    <a:noFill/>
                  </pic:spPr>
                </pic:pic>
              </a:graphicData>
            </a:graphic>
          </wp:anchor>
        </w:drawing>
      </w:r>
    </w:p>
    <w:p>
      <w:pPr>
        <w:spacing w:after="0" w:line="214" w:lineRule="exact"/>
        <w:rPr>
          <w:sz w:val="20"/>
          <w:szCs w:val="20"/>
          <w:color w:val="auto"/>
        </w:rPr>
      </w:pPr>
    </w:p>
    <w:p>
      <w:pPr>
        <w:ind w:left="200" w:right="100" w:hanging="169"/>
        <w:spacing w:after="0" w:line="233" w:lineRule="auto"/>
        <w:tabs>
          <w:tab w:leader="none" w:pos="200" w:val="left"/>
        </w:tabs>
        <w:numPr>
          <w:ilvl w:val="0"/>
          <w:numId w:val="102"/>
        </w:numPr>
        <w:rPr>
          <w:rFonts w:ascii="Arial" w:cs="Arial" w:eastAsia="Arial" w:hAnsi="Arial"/>
          <w:sz w:val="20"/>
          <w:szCs w:val="20"/>
          <w:color w:val="auto"/>
          <w:vertAlign w:val="superscript"/>
        </w:rPr>
      </w:pPr>
      <w:r>
        <w:rPr>
          <w:rFonts w:ascii="Arial" w:cs="Arial" w:eastAsia="Arial" w:hAnsi="Arial"/>
          <w:sz w:val="16"/>
          <w:szCs w:val="16"/>
          <w:color w:val="auto"/>
        </w:rPr>
        <w:t>Pursuant to Rule 415(a)(6) under the Securities Act, this Registration Statement includes an aggregate of 10,738,040 shares of Class A Common Stock issuable upon the exercise of outstanding warrants that were previously registered, but were not sold (the "Unsold Securities"), pursuant to the Company's registration statement on Form S-3 (File No. 333-273062), which was declared effective by the Securities and Exchange Commission on October 27, 2023 (the "Prior Registration Statement"). The registration fee with respect to the Unsold Securities, totaling $3,925.44, will continue to be applied to the Unsold Securities and no fees are due with respect to such shares. In accordance with Rule 415(a)(6), the offering of securities registered under the Prior Registration Statement will be terminated as of the date of effectiveness of this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53910" cy="38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44">
                      <a:extLst>
                        <a:ext uri="{28A0092B-C50C-407E-A947-70E740481C1C}"/>
                      </a:extLst>
                    </a:blip>
                    <a:srcRect/>
                    <a:stretch>
                      <a:fillRect/>
                    </a:stretch>
                  </pic:blipFill>
                  <pic:spPr bwMode="auto">
                    <a:xfrm>
                      <a:off x="0" y="0"/>
                      <a:ext cx="7153910" cy="38100"/>
                    </a:xfrm>
                    <a:prstGeom prst="rect">
                      <a:avLst/>
                    </a:prstGeom>
                    <a:noFill/>
                  </pic:spPr>
                </pic:pic>
              </a:graphicData>
            </a:graphic>
          </wp:anchor>
        </w:drawing>
      </w:r>
    </w:p>
    <w:p>
      <w:pPr>
        <w:spacing w:after="0" w:line="214" w:lineRule="exact"/>
        <w:rPr>
          <w:sz w:val="20"/>
          <w:szCs w:val="20"/>
          <w:color w:val="auto"/>
        </w:rPr>
      </w:pPr>
    </w:p>
    <w:p>
      <w:pPr>
        <w:ind w:left="200" w:right="100" w:hanging="169"/>
        <w:spacing w:after="0" w:line="233" w:lineRule="auto"/>
        <w:tabs>
          <w:tab w:leader="none" w:pos="200" w:val="left"/>
        </w:tabs>
        <w:numPr>
          <w:ilvl w:val="0"/>
          <w:numId w:val="103"/>
        </w:numPr>
        <w:rPr>
          <w:rFonts w:ascii="Arial" w:cs="Arial" w:eastAsia="Arial" w:hAnsi="Arial"/>
          <w:sz w:val="20"/>
          <w:szCs w:val="20"/>
          <w:color w:val="auto"/>
          <w:vertAlign w:val="superscript"/>
        </w:rPr>
      </w:pPr>
      <w:r>
        <w:rPr>
          <w:rFonts w:ascii="Arial" w:cs="Arial" w:eastAsia="Arial" w:hAnsi="Arial"/>
          <w:sz w:val="16"/>
          <w:szCs w:val="16"/>
          <w:color w:val="auto"/>
        </w:rPr>
        <w:t>Pursuant to Rule 415(a)(6) under the Securities Act, this Registration Statement includes an aggregate of 10,738,040 shares of Class A Common Stock issuable upon the exercise of outstanding warrants that were previously registered, but were not sold (the "Unsold Securities"), pursuant to the Company's registration statement on Form S-3 (File No. 333-273062), which was declared effective by the Securities and Exchange Commission on October 27, 2023 (the "Prior Registration Statement"). The registration fee with respect to the Unsold Securities, totaling $3,925.44, will continue to be applied to the Unsold Securities and no fees are due with respect to such shares. In accordance with Rule 415(a)(6), the offering of securities registered under the Prior Registration Statement will be terminated as of the date of effectiveness of this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53910" cy="381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45">
                      <a:extLst>
                        <a:ext uri="{28A0092B-C50C-407E-A947-70E740481C1C}"/>
                      </a:extLst>
                    </a:blip>
                    <a:srcRect/>
                    <a:stretch>
                      <a:fillRect/>
                    </a:stretch>
                  </pic:blipFill>
                  <pic:spPr bwMode="auto">
                    <a:xfrm>
                      <a:off x="0" y="0"/>
                      <a:ext cx="7153910" cy="38100"/>
                    </a:xfrm>
                    <a:prstGeom prst="rect">
                      <a:avLst/>
                    </a:prstGeom>
                    <a:noFill/>
                  </pic:spPr>
                </pic:pic>
              </a:graphicData>
            </a:graphic>
          </wp:anchor>
        </w:drawing>
      </w:r>
    </w:p>
    <w:p>
      <w:pPr>
        <w:spacing w:after="0" w:line="214" w:lineRule="exact"/>
        <w:rPr>
          <w:sz w:val="20"/>
          <w:szCs w:val="20"/>
          <w:color w:val="auto"/>
        </w:rPr>
      </w:pPr>
    </w:p>
    <w:p>
      <w:pPr>
        <w:ind w:left="200" w:right="100" w:hanging="169"/>
        <w:spacing w:after="0" w:line="233" w:lineRule="auto"/>
        <w:tabs>
          <w:tab w:leader="none" w:pos="200" w:val="left"/>
        </w:tabs>
        <w:numPr>
          <w:ilvl w:val="0"/>
          <w:numId w:val="104"/>
        </w:numPr>
        <w:rPr>
          <w:rFonts w:ascii="Arial" w:cs="Arial" w:eastAsia="Arial" w:hAnsi="Arial"/>
          <w:sz w:val="20"/>
          <w:szCs w:val="20"/>
          <w:color w:val="auto"/>
          <w:vertAlign w:val="superscript"/>
        </w:rPr>
      </w:pPr>
      <w:r>
        <w:rPr>
          <w:rFonts w:ascii="Arial" w:cs="Arial" w:eastAsia="Arial" w:hAnsi="Arial"/>
          <w:sz w:val="16"/>
          <w:szCs w:val="16"/>
          <w:color w:val="auto"/>
        </w:rPr>
        <w:t>Pursuant to Rule 415(a)(6) under the Securities Act, this Registration Statement includes an aggregate of 10,738,040 shares of Class A Common Stock issuable upon the exercise of outstanding warrants that were previously registered, but were not sold (the "Unsold Securities"), pursuant to the Company's registration statement on Form S-3 (File No. 333-273062), which was declared effective by the Securities and Exchange Commission on October 27, 2023 (the "Prior Registration Statement"). The registration fee with respect to the Unsold Securities, totaling $3,925.44, will continue to be applied to the Unsold Securities and no fees are due with respect to such shares. In accordance with Rule 415(a)(6), the offering of securities registered under the Prior Registration Statement will be terminated as of the date of effectiveness of this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53910"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46">
                      <a:extLst>
                        <a:ext uri="{28A0092B-C50C-407E-A947-70E740481C1C}"/>
                      </a:extLst>
                    </a:blip>
                    <a:srcRect/>
                    <a:stretch>
                      <a:fillRect/>
                    </a:stretch>
                  </pic:blipFill>
                  <pic:spPr bwMode="auto">
                    <a:xfrm>
                      <a:off x="0" y="0"/>
                      <a:ext cx="7153910" cy="38100"/>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tbl>
      <w:tblPr>
        <w:tblLayout w:type="fixed"/>
        <w:tblInd w:w="10" w:type="dxa"/>
        <w:tblCellMar>
          <w:top w:w="0" w:type="dxa"/>
          <w:left w:w="0" w:type="dxa"/>
          <w:bottom w:w="0" w:type="dxa"/>
          <w:right w:w="0" w:type="dxa"/>
        </w:tblCellMar>
      </w:tblPr>
      <w:tr>
        <w:trPr>
          <w:trHeight w:val="263"/>
        </w:trPr>
        <w:tc>
          <w:tcPr>
            <w:tcW w:w="3440" w:type="dxa"/>
            <w:vAlign w:val="bottom"/>
            <w:tcBorders>
              <w:bottom w:val="single" w:sz="8" w:color="auto"/>
            </w:tcBorders>
            <w:gridSpan w:val="10"/>
          </w:tcPr>
          <w:p>
            <w:pPr>
              <w:ind w:left="40"/>
              <w:spacing w:after="0"/>
              <w:rPr>
                <w:sz w:val="20"/>
                <w:szCs w:val="20"/>
                <w:color w:val="auto"/>
              </w:rPr>
            </w:pPr>
            <w:r>
              <w:rPr>
                <w:rFonts w:ascii="Arial" w:cs="Arial" w:eastAsia="Arial" w:hAnsi="Arial"/>
                <w:sz w:val="16"/>
                <w:szCs w:val="16"/>
                <w:b w:val="1"/>
                <w:bCs w:val="1"/>
                <w:color w:val="auto"/>
              </w:rPr>
              <w:t>Table 2: Fee Offset Claims and Sources</w:t>
            </w:r>
          </w:p>
        </w:tc>
        <w:tc>
          <w:tcPr>
            <w:tcW w:w="2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gridSpan w:val="6"/>
          </w:tcPr>
          <w:p>
            <w:pPr>
              <w:ind w:left="380"/>
              <w:spacing w:after="0" w:line="184" w:lineRule="exact"/>
              <w:rPr>
                <w:sz w:val="20"/>
                <w:szCs w:val="20"/>
                <w:color w:val="auto"/>
              </w:rPr>
            </w:pPr>
            <w:r>
              <w:rPr>
                <w:rFonts w:ascii="MS PGothic" w:cs="MS PGothic" w:eastAsia="MS PGothic" w:hAnsi="MS PGothic"/>
                <w:sz w:val="16"/>
                <w:szCs w:val="16"/>
                <w:color w:val="auto"/>
                <w:highlight w:val="black"/>
                <w:w w:val="99"/>
              </w:rPr>
              <w:t>☑</w:t>
            </w:r>
            <w:r>
              <w:rPr>
                <w:rFonts w:ascii="Arial" w:cs="Arial" w:eastAsia="Arial" w:hAnsi="Arial"/>
                <w:sz w:val="16"/>
                <w:szCs w:val="16"/>
                <w:b w:val="1"/>
                <w:bCs w:val="1"/>
                <w:color w:val="auto"/>
                <w:w w:val="99"/>
              </w:rPr>
              <w:t>Not Applicable</w:t>
            </w:r>
          </w:p>
        </w:tc>
        <w:tc>
          <w:tcPr>
            <w:tcW w:w="0" w:type="dxa"/>
            <w:vAlign w:val="bottom"/>
          </w:tcPr>
          <w:p>
            <w:pPr>
              <w:spacing w:after="0"/>
              <w:rPr>
                <w:sz w:val="1"/>
                <w:szCs w:val="1"/>
                <w:color w:val="auto"/>
              </w:rPr>
            </w:pPr>
          </w:p>
        </w:tc>
      </w:tr>
      <w:tr>
        <w:trPr>
          <w:trHeight w:val="186"/>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3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3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6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3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Unsold</w:t>
            </w:r>
          </w:p>
        </w:tc>
        <w:tc>
          <w:tcPr>
            <w:tcW w:w="20" w:type="dxa"/>
            <w:vAlign w:val="bottom"/>
          </w:tcPr>
          <w:p>
            <w:pPr>
              <w:spacing w:after="0"/>
              <w:rPr>
                <w:sz w:val="16"/>
                <w:szCs w:val="16"/>
                <w:color w:val="auto"/>
              </w:rPr>
            </w:pPr>
          </w:p>
        </w:tc>
        <w:tc>
          <w:tcPr>
            <w:tcW w:w="640" w:type="dxa"/>
            <w:vAlign w:val="bottom"/>
            <w:shd w:val="clear" w:color="auto" w:fill="9ADAF6"/>
          </w:tcPr>
          <w:p>
            <w:pPr>
              <w:spacing w:after="0"/>
              <w:rPr>
                <w:sz w:val="16"/>
                <w:szCs w:val="16"/>
                <w:color w:val="auto"/>
              </w:rPr>
            </w:pP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40" w:type="dxa"/>
            <w:vAlign w:val="bottom"/>
            <w:tcBorders>
              <w:left w:val="single" w:sz="8" w:color="auto"/>
            </w:tcBorders>
          </w:tcPr>
          <w:p>
            <w:pPr>
              <w:spacing w:after="0"/>
              <w:rPr>
                <w:sz w:val="15"/>
                <w:szCs w:val="15"/>
                <w:color w:val="auto"/>
              </w:rPr>
            </w:pPr>
          </w:p>
        </w:tc>
        <w:tc>
          <w:tcPr>
            <w:tcW w:w="44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5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13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3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9ADAF6"/>
          </w:tcPr>
          <w:p>
            <w:pPr>
              <w:jc w:val="center"/>
              <w:spacing w:after="0" w:line="181" w:lineRule="exact"/>
              <w:rPr>
                <w:sz w:val="20"/>
                <w:szCs w:val="20"/>
                <w:color w:val="auto"/>
              </w:rPr>
            </w:pPr>
            <w:r>
              <w:rPr>
                <w:rFonts w:ascii="Arial" w:cs="Arial" w:eastAsia="Arial" w:hAnsi="Arial"/>
                <w:sz w:val="16"/>
                <w:szCs w:val="16"/>
                <w:b w:val="1"/>
                <w:bCs w:val="1"/>
                <w:color w:val="auto"/>
              </w:rPr>
              <w:t>Security</w:t>
            </w:r>
          </w:p>
        </w:tc>
        <w:tc>
          <w:tcPr>
            <w:tcW w:w="20" w:type="dxa"/>
            <w:vAlign w:val="bottom"/>
          </w:tcPr>
          <w:p>
            <w:pPr>
              <w:spacing w:after="0"/>
              <w:rPr>
                <w:sz w:val="15"/>
                <w:szCs w:val="15"/>
                <w:color w:val="auto"/>
              </w:rPr>
            </w:pPr>
          </w:p>
        </w:tc>
        <w:tc>
          <w:tcPr>
            <w:tcW w:w="100" w:type="dxa"/>
            <w:vAlign w:val="bottom"/>
            <w:shd w:val="clear" w:color="auto" w:fill="9ADAF6"/>
          </w:tcPr>
          <w:p>
            <w:pPr>
              <w:spacing w:after="0"/>
              <w:rPr>
                <w:sz w:val="15"/>
                <w:szCs w:val="15"/>
                <w:color w:val="auto"/>
              </w:rPr>
            </w:pPr>
          </w:p>
        </w:tc>
        <w:tc>
          <w:tcPr>
            <w:tcW w:w="700" w:type="dxa"/>
            <w:vAlign w:val="bottom"/>
            <w:gridSpan w:val="3"/>
            <w:shd w:val="clear" w:color="auto" w:fill="9ADAF6"/>
          </w:tcPr>
          <w:p>
            <w:pPr>
              <w:jc w:val="center"/>
              <w:ind w:right="20"/>
              <w:spacing w:after="0" w:line="181" w:lineRule="exact"/>
              <w:rPr>
                <w:sz w:val="20"/>
                <w:szCs w:val="20"/>
                <w:color w:val="auto"/>
              </w:rPr>
            </w:pPr>
            <w:r>
              <w:rPr>
                <w:rFonts w:ascii="Arial" w:cs="Arial" w:eastAsia="Arial" w:hAnsi="Arial"/>
                <w:sz w:val="16"/>
                <w:szCs w:val="16"/>
                <w:b w:val="1"/>
                <w:bCs w:val="1"/>
                <w:color w:val="auto"/>
              </w:rPr>
              <w:t>Security</w:t>
            </w:r>
          </w:p>
        </w:tc>
        <w:tc>
          <w:tcPr>
            <w:tcW w:w="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gridSpan w:val="3"/>
            <w:shd w:val="clear" w:color="auto" w:fill="9ADAF6"/>
          </w:tcPr>
          <w:p>
            <w:pPr>
              <w:jc w:val="center"/>
              <w:spacing w:after="0" w:line="181" w:lineRule="exact"/>
              <w:rPr>
                <w:sz w:val="20"/>
                <w:szCs w:val="20"/>
                <w:color w:val="auto"/>
              </w:rPr>
            </w:pPr>
            <w:r>
              <w:rPr>
                <w:rFonts w:ascii="Arial" w:cs="Arial" w:eastAsia="Arial" w:hAnsi="Arial"/>
                <w:sz w:val="16"/>
                <w:szCs w:val="16"/>
                <w:b w:val="1"/>
                <w:bCs w:val="1"/>
                <w:color w:val="auto"/>
              </w:rPr>
              <w:t>Unsold</w:t>
            </w:r>
          </w:p>
        </w:tc>
        <w:tc>
          <w:tcPr>
            <w:tcW w:w="20" w:type="dxa"/>
            <w:vAlign w:val="bottom"/>
          </w:tcPr>
          <w:p>
            <w:pPr>
              <w:spacing w:after="0"/>
              <w:rPr>
                <w:sz w:val="15"/>
                <w:szCs w:val="15"/>
                <w:color w:val="auto"/>
              </w:rPr>
            </w:pPr>
          </w:p>
        </w:tc>
        <w:tc>
          <w:tcPr>
            <w:tcW w:w="980" w:type="dxa"/>
            <w:vAlign w:val="bottom"/>
            <w:gridSpan w:val="3"/>
            <w:shd w:val="clear" w:color="auto" w:fill="9ADAF6"/>
          </w:tcPr>
          <w:p>
            <w:pPr>
              <w:jc w:val="center"/>
              <w:spacing w:after="0" w:line="181" w:lineRule="exact"/>
              <w:rPr>
                <w:sz w:val="20"/>
                <w:szCs w:val="20"/>
                <w:color w:val="auto"/>
              </w:rPr>
            </w:pPr>
            <w:r>
              <w:rPr>
                <w:rFonts w:ascii="Arial" w:cs="Arial" w:eastAsia="Arial" w:hAnsi="Arial"/>
                <w:sz w:val="16"/>
                <w:szCs w:val="16"/>
                <w:b w:val="1"/>
                <w:bCs w:val="1"/>
                <w:color w:val="auto"/>
              </w:rPr>
              <w:t>Aggregate</w:t>
            </w:r>
          </w:p>
        </w:tc>
        <w:tc>
          <w:tcPr>
            <w:tcW w:w="20" w:type="dxa"/>
            <w:vAlign w:val="bottom"/>
          </w:tcPr>
          <w:p>
            <w:pPr>
              <w:spacing w:after="0"/>
              <w:rPr>
                <w:sz w:val="15"/>
                <w:szCs w:val="15"/>
                <w:color w:val="auto"/>
              </w:rPr>
            </w:pPr>
          </w:p>
        </w:tc>
        <w:tc>
          <w:tcPr>
            <w:tcW w:w="640" w:type="dxa"/>
            <w:vAlign w:val="bottom"/>
            <w:shd w:val="clear" w:color="auto" w:fill="9ADAF6"/>
          </w:tcPr>
          <w:p>
            <w:pPr>
              <w:jc w:val="center"/>
              <w:spacing w:after="0" w:line="181" w:lineRule="exact"/>
              <w:rPr>
                <w:sz w:val="20"/>
                <w:szCs w:val="20"/>
                <w:color w:val="auto"/>
              </w:rPr>
            </w:pPr>
            <w:r>
              <w:rPr>
                <w:rFonts w:ascii="Arial" w:cs="Arial" w:eastAsia="Arial" w:hAnsi="Arial"/>
                <w:sz w:val="16"/>
                <w:szCs w:val="16"/>
                <w:b w:val="1"/>
                <w:bCs w:val="1"/>
                <w:color w:val="auto"/>
              </w:rPr>
              <w:t>Fee</w:t>
            </w:r>
          </w:p>
        </w:tc>
        <w:tc>
          <w:tcPr>
            <w:tcW w:w="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0" w:type="dxa"/>
            <w:vAlign w:val="bottom"/>
            <w:tcBorders>
              <w:left w:val="single" w:sz="8" w:color="auto"/>
            </w:tcBorders>
          </w:tcPr>
          <w:p>
            <w:pPr>
              <w:spacing w:after="0"/>
              <w:rPr>
                <w:sz w:val="15"/>
                <w:szCs w:val="15"/>
                <w:color w:val="auto"/>
              </w:rPr>
            </w:pPr>
          </w:p>
        </w:tc>
        <w:tc>
          <w:tcPr>
            <w:tcW w:w="44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5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13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Form or</w:t>
            </w:r>
          </w:p>
        </w:tc>
        <w:tc>
          <w:tcPr>
            <w:tcW w:w="20" w:type="dxa"/>
            <w:vAlign w:val="bottom"/>
          </w:tcPr>
          <w:p>
            <w:pPr>
              <w:spacing w:after="0"/>
              <w:rPr>
                <w:sz w:val="15"/>
                <w:szCs w:val="15"/>
                <w:color w:val="auto"/>
              </w:rPr>
            </w:pPr>
          </w:p>
        </w:tc>
        <w:tc>
          <w:tcPr>
            <w:tcW w:w="7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Initial</w:t>
            </w:r>
          </w:p>
        </w:tc>
        <w:tc>
          <w:tcPr>
            <w:tcW w:w="20" w:type="dxa"/>
            <w:vAlign w:val="bottom"/>
          </w:tcPr>
          <w:p>
            <w:pPr>
              <w:spacing w:after="0"/>
              <w:rPr>
                <w:sz w:val="15"/>
                <w:szCs w:val="15"/>
                <w:color w:val="auto"/>
              </w:rPr>
            </w:pPr>
          </w:p>
        </w:tc>
        <w:tc>
          <w:tcPr>
            <w:tcW w:w="6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gridSpan w:val="3"/>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Fee</w:t>
            </w:r>
          </w:p>
        </w:tc>
        <w:tc>
          <w:tcPr>
            <w:tcW w:w="20" w:type="dxa"/>
            <w:vAlign w:val="bottom"/>
          </w:tcPr>
          <w:p>
            <w:pPr>
              <w:spacing w:after="0"/>
              <w:rPr>
                <w:sz w:val="15"/>
                <w:szCs w:val="15"/>
                <w:color w:val="auto"/>
              </w:rPr>
            </w:pPr>
          </w:p>
        </w:tc>
        <w:tc>
          <w:tcPr>
            <w:tcW w:w="900" w:type="dxa"/>
            <w:vAlign w:val="bottom"/>
            <w:shd w:val="clear" w:color="auto" w:fill="9ADAF6"/>
          </w:tcPr>
          <w:p>
            <w:pPr>
              <w:jc w:val="center"/>
              <w:spacing w:after="0" w:line="181" w:lineRule="exact"/>
              <w:rPr>
                <w:sz w:val="20"/>
                <w:szCs w:val="20"/>
                <w:color w:val="auto"/>
              </w:rPr>
            </w:pPr>
            <w:r>
              <w:rPr>
                <w:rFonts w:ascii="Arial" w:cs="Arial" w:eastAsia="Arial" w:hAnsi="Arial"/>
                <w:sz w:val="16"/>
                <w:szCs w:val="16"/>
                <w:b w:val="1"/>
                <w:bCs w:val="1"/>
                <w:color w:val="auto"/>
                <w:w w:val="96"/>
              </w:rPr>
              <w:t>Type</w:t>
            </w:r>
          </w:p>
        </w:tc>
        <w:tc>
          <w:tcPr>
            <w:tcW w:w="20" w:type="dxa"/>
            <w:vAlign w:val="bottom"/>
          </w:tcPr>
          <w:p>
            <w:pPr>
              <w:spacing w:after="0"/>
              <w:rPr>
                <w:sz w:val="15"/>
                <w:szCs w:val="15"/>
                <w:color w:val="auto"/>
              </w:rPr>
            </w:pPr>
          </w:p>
        </w:tc>
        <w:tc>
          <w:tcPr>
            <w:tcW w:w="100" w:type="dxa"/>
            <w:vAlign w:val="bottom"/>
            <w:shd w:val="clear" w:color="auto" w:fill="9ADAF6"/>
          </w:tcPr>
          <w:p>
            <w:pPr>
              <w:spacing w:after="0"/>
              <w:rPr>
                <w:sz w:val="15"/>
                <w:szCs w:val="15"/>
                <w:color w:val="auto"/>
              </w:rPr>
            </w:pPr>
          </w:p>
        </w:tc>
        <w:tc>
          <w:tcPr>
            <w:tcW w:w="700" w:type="dxa"/>
            <w:vAlign w:val="bottom"/>
            <w:gridSpan w:val="3"/>
            <w:shd w:val="clear" w:color="auto" w:fill="9ADAF6"/>
          </w:tcPr>
          <w:p>
            <w:pPr>
              <w:jc w:val="center"/>
              <w:ind w:right="40"/>
              <w:spacing w:after="0" w:line="181" w:lineRule="exact"/>
              <w:rPr>
                <w:sz w:val="20"/>
                <w:szCs w:val="20"/>
                <w:color w:val="auto"/>
              </w:rPr>
            </w:pPr>
            <w:r>
              <w:rPr>
                <w:rFonts w:ascii="Arial" w:cs="Arial" w:eastAsia="Arial" w:hAnsi="Arial"/>
                <w:sz w:val="16"/>
                <w:szCs w:val="16"/>
                <w:b w:val="1"/>
                <w:bCs w:val="1"/>
                <w:color w:val="auto"/>
              </w:rPr>
              <w:t>Title</w:t>
            </w:r>
          </w:p>
        </w:tc>
        <w:tc>
          <w:tcPr>
            <w:tcW w:w="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gridSpan w:val="3"/>
            <w:shd w:val="clear" w:color="auto" w:fill="9ADAF6"/>
          </w:tcPr>
          <w:p>
            <w:pPr>
              <w:jc w:val="center"/>
              <w:spacing w:after="0" w:line="181" w:lineRule="exact"/>
              <w:rPr>
                <w:sz w:val="20"/>
                <w:szCs w:val="20"/>
                <w:color w:val="auto"/>
              </w:rPr>
            </w:pPr>
            <w:r>
              <w:rPr>
                <w:rFonts w:ascii="Arial" w:cs="Arial" w:eastAsia="Arial" w:hAnsi="Arial"/>
                <w:sz w:val="16"/>
                <w:szCs w:val="16"/>
                <w:b w:val="1"/>
                <w:bCs w:val="1"/>
                <w:color w:val="auto"/>
                <w:w w:val="99"/>
              </w:rPr>
              <w:t>Securities</w:t>
            </w:r>
          </w:p>
        </w:tc>
        <w:tc>
          <w:tcPr>
            <w:tcW w:w="20" w:type="dxa"/>
            <w:vAlign w:val="bottom"/>
          </w:tcPr>
          <w:p>
            <w:pPr>
              <w:spacing w:after="0"/>
              <w:rPr>
                <w:sz w:val="15"/>
                <w:szCs w:val="15"/>
                <w:color w:val="auto"/>
              </w:rPr>
            </w:pPr>
          </w:p>
        </w:tc>
        <w:tc>
          <w:tcPr>
            <w:tcW w:w="980" w:type="dxa"/>
            <w:vAlign w:val="bottom"/>
            <w:gridSpan w:val="3"/>
            <w:shd w:val="clear" w:color="auto" w:fill="9ADAF6"/>
          </w:tcPr>
          <w:p>
            <w:pPr>
              <w:jc w:val="center"/>
              <w:spacing w:after="0" w:line="181" w:lineRule="exact"/>
              <w:rPr>
                <w:sz w:val="20"/>
                <w:szCs w:val="20"/>
                <w:color w:val="auto"/>
              </w:rPr>
            </w:pPr>
            <w:r>
              <w:rPr>
                <w:rFonts w:ascii="Arial" w:cs="Arial" w:eastAsia="Arial" w:hAnsi="Arial"/>
                <w:sz w:val="16"/>
                <w:szCs w:val="16"/>
                <w:b w:val="1"/>
                <w:bCs w:val="1"/>
                <w:color w:val="auto"/>
                <w:w w:val="99"/>
              </w:rPr>
              <w:t>Offering</w:t>
            </w:r>
          </w:p>
        </w:tc>
        <w:tc>
          <w:tcPr>
            <w:tcW w:w="20" w:type="dxa"/>
            <w:vAlign w:val="bottom"/>
          </w:tcPr>
          <w:p>
            <w:pPr>
              <w:spacing w:after="0"/>
              <w:rPr>
                <w:sz w:val="15"/>
                <w:szCs w:val="15"/>
                <w:color w:val="auto"/>
              </w:rPr>
            </w:pPr>
          </w:p>
        </w:tc>
        <w:tc>
          <w:tcPr>
            <w:tcW w:w="640" w:type="dxa"/>
            <w:vAlign w:val="bottom"/>
            <w:shd w:val="clear" w:color="auto" w:fill="9ADAF6"/>
          </w:tcPr>
          <w:p>
            <w:pPr>
              <w:jc w:val="center"/>
              <w:spacing w:after="0" w:line="181" w:lineRule="exact"/>
              <w:rPr>
                <w:sz w:val="20"/>
                <w:szCs w:val="20"/>
                <w:color w:val="auto"/>
              </w:rPr>
            </w:pPr>
            <w:r>
              <w:rPr>
                <w:rFonts w:ascii="Arial" w:cs="Arial" w:eastAsia="Arial" w:hAnsi="Arial"/>
                <w:sz w:val="16"/>
                <w:szCs w:val="16"/>
                <w:b w:val="1"/>
                <w:bCs w:val="1"/>
                <w:color w:val="auto"/>
              </w:rPr>
              <w:t>Paid</w:t>
            </w:r>
          </w:p>
        </w:tc>
        <w:tc>
          <w:tcPr>
            <w:tcW w:w="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91"/>
        </w:trPr>
        <w:tc>
          <w:tcPr>
            <w:tcW w:w="40" w:type="dxa"/>
            <w:vAlign w:val="bottom"/>
            <w:tcBorders>
              <w:left w:val="single" w:sz="8" w:color="auto"/>
            </w:tcBorders>
          </w:tcPr>
          <w:p>
            <w:pPr>
              <w:spacing w:after="0"/>
              <w:rPr>
                <w:sz w:val="7"/>
                <w:szCs w:val="7"/>
                <w:color w:val="auto"/>
              </w:rPr>
            </w:pPr>
          </w:p>
        </w:tc>
        <w:tc>
          <w:tcPr>
            <w:tcW w:w="4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5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620" w:type="dxa"/>
            <w:vAlign w:val="bottom"/>
            <w:gridSpan w:val="3"/>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Registrant or Filer</w:t>
            </w:r>
          </w:p>
        </w:tc>
        <w:tc>
          <w:tcPr>
            <w:tcW w:w="20" w:type="dxa"/>
            <w:vAlign w:val="bottom"/>
          </w:tcPr>
          <w:p>
            <w:pPr>
              <w:spacing w:after="0"/>
              <w:rPr>
                <w:sz w:val="7"/>
                <w:szCs w:val="7"/>
                <w:color w:val="auto"/>
              </w:rPr>
            </w:pPr>
          </w:p>
        </w:tc>
        <w:tc>
          <w:tcPr>
            <w:tcW w:w="640" w:type="dxa"/>
            <w:vAlign w:val="bottom"/>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File</w:t>
            </w:r>
          </w:p>
        </w:tc>
        <w:tc>
          <w:tcPr>
            <w:tcW w:w="20" w:type="dxa"/>
            <w:vAlign w:val="bottom"/>
          </w:tcPr>
          <w:p>
            <w:pPr>
              <w:spacing w:after="0"/>
              <w:rPr>
                <w:sz w:val="7"/>
                <w:szCs w:val="7"/>
                <w:color w:val="auto"/>
              </w:rPr>
            </w:pPr>
          </w:p>
        </w:tc>
        <w:tc>
          <w:tcPr>
            <w:tcW w:w="640" w:type="dxa"/>
            <w:vAlign w:val="bottom"/>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w w:val="98"/>
              </w:rPr>
              <w:t>Filing</w:t>
            </w:r>
          </w:p>
        </w:tc>
        <w:tc>
          <w:tcPr>
            <w:tcW w:w="20" w:type="dxa"/>
            <w:vAlign w:val="bottom"/>
          </w:tcPr>
          <w:p>
            <w:pPr>
              <w:spacing w:after="0"/>
              <w:rPr>
                <w:sz w:val="7"/>
                <w:szCs w:val="7"/>
                <w:color w:val="auto"/>
              </w:rPr>
            </w:pPr>
          </w:p>
        </w:tc>
        <w:tc>
          <w:tcPr>
            <w:tcW w:w="660" w:type="dxa"/>
            <w:vAlign w:val="bottom"/>
            <w:gridSpan w:val="3"/>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Associated</w:t>
            </w:r>
          </w:p>
        </w:tc>
        <w:tc>
          <w:tcPr>
            <w:tcW w:w="20" w:type="dxa"/>
            <w:vAlign w:val="bottom"/>
          </w:tcPr>
          <w:p>
            <w:pPr>
              <w:spacing w:after="0"/>
              <w:rPr>
                <w:sz w:val="7"/>
                <w:szCs w:val="7"/>
                <w:color w:val="auto"/>
              </w:rPr>
            </w:pPr>
          </w:p>
        </w:tc>
        <w:tc>
          <w:tcPr>
            <w:tcW w:w="880" w:type="dxa"/>
            <w:vAlign w:val="bottom"/>
            <w:gridSpan w:val="5"/>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Associated</w:t>
            </w:r>
          </w:p>
        </w:tc>
        <w:tc>
          <w:tcPr>
            <w:tcW w:w="20" w:type="dxa"/>
            <w:vAlign w:val="bottom"/>
          </w:tcPr>
          <w:p>
            <w:pPr>
              <w:spacing w:after="0"/>
              <w:rPr>
                <w:sz w:val="7"/>
                <w:szCs w:val="7"/>
                <w:color w:val="auto"/>
              </w:rPr>
            </w:pPr>
          </w:p>
        </w:tc>
        <w:tc>
          <w:tcPr>
            <w:tcW w:w="880" w:type="dxa"/>
            <w:vAlign w:val="bottom"/>
            <w:gridSpan w:val="3"/>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Associated</w:t>
            </w:r>
          </w:p>
        </w:tc>
        <w:tc>
          <w:tcPr>
            <w:tcW w:w="20" w:type="dxa"/>
            <w:vAlign w:val="bottom"/>
          </w:tcPr>
          <w:p>
            <w:pPr>
              <w:spacing w:after="0"/>
              <w:rPr>
                <w:sz w:val="7"/>
                <w:szCs w:val="7"/>
                <w:color w:val="auto"/>
              </w:rPr>
            </w:pPr>
          </w:p>
        </w:tc>
        <w:tc>
          <w:tcPr>
            <w:tcW w:w="980" w:type="dxa"/>
            <w:vAlign w:val="bottom"/>
            <w:gridSpan w:val="3"/>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Amount</w:t>
            </w:r>
          </w:p>
        </w:tc>
        <w:tc>
          <w:tcPr>
            <w:tcW w:w="20" w:type="dxa"/>
            <w:vAlign w:val="bottom"/>
          </w:tcPr>
          <w:p>
            <w:pPr>
              <w:spacing w:after="0"/>
              <w:rPr>
                <w:sz w:val="7"/>
                <w:szCs w:val="7"/>
                <w:color w:val="auto"/>
              </w:rPr>
            </w:pPr>
          </w:p>
        </w:tc>
        <w:tc>
          <w:tcPr>
            <w:tcW w:w="64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with</w:t>
            </w:r>
          </w:p>
        </w:tc>
        <w:tc>
          <w:tcPr>
            <w:tcW w:w="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40" w:type="dxa"/>
            <w:vAlign w:val="bottom"/>
            <w:tcBorders>
              <w:left w:val="single" w:sz="8" w:color="auto"/>
            </w:tcBorders>
          </w:tcPr>
          <w:p>
            <w:pPr>
              <w:spacing w:after="0"/>
              <w:rPr>
                <w:sz w:val="14"/>
                <w:szCs w:val="14"/>
                <w:color w:val="auto"/>
              </w:rPr>
            </w:pPr>
          </w:p>
        </w:tc>
        <w:tc>
          <w:tcPr>
            <w:tcW w:w="440" w:type="dxa"/>
            <w:vAlign w:val="bottom"/>
            <w:shd w:val="clear" w:color="auto" w:fill="9ADAF6"/>
          </w:tcPr>
          <w:p>
            <w:pPr>
              <w:spacing w:after="0"/>
              <w:rPr>
                <w:sz w:val="14"/>
                <w:szCs w:val="14"/>
                <w:color w:val="auto"/>
              </w:rPr>
            </w:pPr>
          </w:p>
        </w:tc>
        <w:tc>
          <w:tcPr>
            <w:tcW w:w="20" w:type="dxa"/>
            <w:vAlign w:val="bottom"/>
            <w:shd w:val="clear" w:color="auto" w:fill="9ADAF6"/>
          </w:tcPr>
          <w:p>
            <w:pPr>
              <w:spacing w:after="0"/>
              <w:rPr>
                <w:sz w:val="14"/>
                <w:szCs w:val="14"/>
                <w:color w:val="auto"/>
              </w:rPr>
            </w:pPr>
          </w:p>
        </w:tc>
        <w:tc>
          <w:tcPr>
            <w:tcW w:w="54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62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shd w:val="clear" w:color="auto" w:fill="9ADAF6"/>
          </w:tcPr>
          <w:p>
            <w:pPr>
              <w:jc w:val="center"/>
              <w:spacing w:after="0" w:line="162" w:lineRule="exact"/>
              <w:rPr>
                <w:sz w:val="20"/>
                <w:szCs w:val="20"/>
                <w:color w:val="auto"/>
              </w:rPr>
            </w:pPr>
            <w:r>
              <w:rPr>
                <w:rFonts w:ascii="Arial" w:cs="Arial" w:eastAsia="Arial" w:hAnsi="Arial"/>
                <w:sz w:val="16"/>
                <w:szCs w:val="16"/>
                <w:b w:val="1"/>
                <w:bCs w:val="1"/>
                <w:color w:val="auto"/>
              </w:rPr>
              <w:t>Filing</w:t>
            </w:r>
          </w:p>
        </w:tc>
        <w:tc>
          <w:tcPr>
            <w:tcW w:w="20" w:type="dxa"/>
            <w:vAlign w:val="bottom"/>
          </w:tcPr>
          <w:p>
            <w:pPr>
              <w:spacing w:after="0"/>
              <w:rPr>
                <w:sz w:val="14"/>
                <w:szCs w:val="14"/>
                <w:color w:val="auto"/>
              </w:rPr>
            </w:pPr>
          </w:p>
        </w:tc>
        <w:tc>
          <w:tcPr>
            <w:tcW w:w="76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shd w:val="clear" w:color="auto" w:fill="9ADAF6"/>
          </w:tcPr>
          <w:p>
            <w:pPr>
              <w:jc w:val="center"/>
              <w:spacing w:after="0" w:line="162" w:lineRule="exact"/>
              <w:rPr>
                <w:sz w:val="20"/>
                <w:szCs w:val="20"/>
                <w:color w:val="auto"/>
              </w:rPr>
            </w:pPr>
            <w:r>
              <w:rPr>
                <w:rFonts w:ascii="Arial" w:cs="Arial" w:eastAsia="Arial" w:hAnsi="Arial"/>
                <w:sz w:val="16"/>
                <w:szCs w:val="16"/>
                <w:b w:val="1"/>
                <w:bCs w:val="1"/>
                <w:color w:val="auto"/>
              </w:rPr>
              <w:t>Filing</w:t>
            </w:r>
          </w:p>
        </w:tc>
        <w:tc>
          <w:tcPr>
            <w:tcW w:w="20" w:type="dxa"/>
            <w:vAlign w:val="bottom"/>
          </w:tcPr>
          <w:p>
            <w:pPr>
              <w:spacing w:after="0"/>
              <w:rPr>
                <w:sz w:val="14"/>
                <w:szCs w:val="14"/>
                <w:color w:val="auto"/>
              </w:rPr>
            </w:pPr>
          </w:p>
        </w:tc>
        <w:tc>
          <w:tcPr>
            <w:tcW w:w="6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gridSpan w:val="3"/>
            <w:shd w:val="clear" w:color="auto" w:fill="9ADAF6"/>
          </w:tcPr>
          <w:p>
            <w:pPr>
              <w:jc w:val="center"/>
              <w:spacing w:after="0" w:line="162" w:lineRule="exact"/>
              <w:rPr>
                <w:sz w:val="20"/>
                <w:szCs w:val="20"/>
                <w:color w:val="auto"/>
              </w:rPr>
            </w:pPr>
            <w:r>
              <w:rPr>
                <w:rFonts w:ascii="Arial" w:cs="Arial" w:eastAsia="Arial" w:hAnsi="Arial"/>
                <w:sz w:val="16"/>
                <w:szCs w:val="16"/>
                <w:b w:val="1"/>
                <w:bCs w:val="1"/>
                <w:color w:val="auto"/>
                <w:w w:val="99"/>
              </w:rPr>
              <w:t>Offset</w:t>
            </w:r>
          </w:p>
        </w:tc>
        <w:tc>
          <w:tcPr>
            <w:tcW w:w="20" w:type="dxa"/>
            <w:vAlign w:val="bottom"/>
          </w:tcPr>
          <w:p>
            <w:pPr>
              <w:spacing w:after="0"/>
              <w:rPr>
                <w:sz w:val="14"/>
                <w:szCs w:val="14"/>
                <w:color w:val="auto"/>
              </w:rPr>
            </w:pPr>
          </w:p>
        </w:tc>
        <w:tc>
          <w:tcPr>
            <w:tcW w:w="9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gridSpan w:val="5"/>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vMerge w:val="continue"/>
            <w:shd w:val="clear" w:color="auto" w:fill="9ADAF6"/>
          </w:tcPr>
          <w:p>
            <w:pPr>
              <w:spacing w:after="0"/>
              <w:rPr>
                <w:sz w:val="14"/>
                <w:szCs w:val="14"/>
                <w:color w:val="auto"/>
              </w:rPr>
            </w:pPr>
          </w:p>
        </w:tc>
        <w:tc>
          <w:tcPr>
            <w:tcW w:w="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40" w:type="dxa"/>
            <w:vAlign w:val="bottom"/>
            <w:tcBorders>
              <w:left w:val="single" w:sz="8" w:color="auto"/>
            </w:tcBorders>
          </w:tcPr>
          <w:p>
            <w:pPr>
              <w:spacing w:after="0"/>
              <w:rPr>
                <w:sz w:val="15"/>
                <w:szCs w:val="15"/>
                <w:color w:val="auto"/>
              </w:rPr>
            </w:pPr>
          </w:p>
        </w:tc>
        <w:tc>
          <w:tcPr>
            <w:tcW w:w="44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5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1360" w:type="dxa"/>
            <w:vAlign w:val="bottom"/>
            <w:shd w:val="clear" w:color="auto" w:fill="9ADAF6"/>
          </w:tcPr>
          <w:p>
            <w:pPr>
              <w:jc w:val="center"/>
              <w:ind w:right="159"/>
              <w:spacing w:after="0" w:line="181" w:lineRule="exact"/>
              <w:rPr>
                <w:sz w:val="20"/>
                <w:szCs w:val="20"/>
                <w:color w:val="auto"/>
              </w:rPr>
            </w:pPr>
            <w:r>
              <w:rPr>
                <w:rFonts w:ascii="Arial" w:cs="Arial" w:eastAsia="Arial" w:hAnsi="Arial"/>
                <w:sz w:val="16"/>
                <w:szCs w:val="16"/>
                <w:b w:val="1"/>
                <w:bCs w:val="1"/>
                <w:color w:val="auto"/>
              </w:rPr>
              <w:t>Name</w:t>
            </w:r>
          </w:p>
        </w:tc>
        <w:tc>
          <w:tcPr>
            <w:tcW w:w="20" w:type="dxa"/>
            <w:vAlign w:val="bottom"/>
          </w:tcPr>
          <w:p>
            <w:pPr>
              <w:spacing w:after="0"/>
              <w:rPr>
                <w:sz w:val="15"/>
                <w:szCs w:val="15"/>
                <w:color w:val="auto"/>
              </w:rPr>
            </w:pPr>
          </w:p>
        </w:tc>
        <w:tc>
          <w:tcPr>
            <w:tcW w:w="640" w:type="dxa"/>
            <w:vAlign w:val="bottom"/>
            <w:shd w:val="clear" w:color="auto" w:fill="9ADAF6"/>
          </w:tcPr>
          <w:p>
            <w:pPr>
              <w:jc w:val="center"/>
              <w:spacing w:after="0" w:line="181" w:lineRule="exact"/>
              <w:rPr>
                <w:sz w:val="20"/>
                <w:szCs w:val="20"/>
                <w:color w:val="auto"/>
              </w:rPr>
            </w:pPr>
            <w:r>
              <w:rPr>
                <w:rFonts w:ascii="Arial" w:cs="Arial" w:eastAsia="Arial" w:hAnsi="Arial"/>
                <w:sz w:val="16"/>
                <w:szCs w:val="16"/>
                <w:b w:val="1"/>
                <w:bCs w:val="1"/>
                <w:color w:val="auto"/>
                <w:w w:val="96"/>
              </w:rPr>
              <w:t>Type</w:t>
            </w:r>
          </w:p>
        </w:tc>
        <w:tc>
          <w:tcPr>
            <w:tcW w:w="20" w:type="dxa"/>
            <w:vAlign w:val="bottom"/>
          </w:tcPr>
          <w:p>
            <w:pPr>
              <w:spacing w:after="0"/>
              <w:rPr>
                <w:sz w:val="15"/>
                <w:szCs w:val="15"/>
                <w:color w:val="auto"/>
              </w:rPr>
            </w:pPr>
          </w:p>
        </w:tc>
        <w:tc>
          <w:tcPr>
            <w:tcW w:w="760" w:type="dxa"/>
            <w:vAlign w:val="bottom"/>
            <w:shd w:val="clear" w:color="auto" w:fill="9ADAF6"/>
          </w:tcPr>
          <w:p>
            <w:pPr>
              <w:jc w:val="center"/>
              <w:spacing w:after="0" w:line="181" w:lineRule="exact"/>
              <w:rPr>
                <w:sz w:val="20"/>
                <w:szCs w:val="20"/>
                <w:color w:val="auto"/>
              </w:rPr>
            </w:pPr>
            <w:r>
              <w:rPr>
                <w:rFonts w:ascii="Arial" w:cs="Arial" w:eastAsia="Arial" w:hAnsi="Arial"/>
                <w:sz w:val="16"/>
                <w:szCs w:val="16"/>
                <w:b w:val="1"/>
                <w:bCs w:val="1"/>
                <w:color w:val="auto"/>
                <w:w w:val="99"/>
              </w:rPr>
              <w:t>Number</w:t>
            </w:r>
          </w:p>
        </w:tc>
        <w:tc>
          <w:tcPr>
            <w:tcW w:w="20" w:type="dxa"/>
            <w:vAlign w:val="bottom"/>
          </w:tcPr>
          <w:p>
            <w:pPr>
              <w:spacing w:after="0"/>
              <w:rPr>
                <w:sz w:val="15"/>
                <w:szCs w:val="15"/>
                <w:color w:val="auto"/>
              </w:rPr>
            </w:pPr>
          </w:p>
        </w:tc>
        <w:tc>
          <w:tcPr>
            <w:tcW w:w="640" w:type="dxa"/>
            <w:vAlign w:val="bottom"/>
            <w:shd w:val="clear" w:color="auto" w:fill="9ADAF6"/>
          </w:tcPr>
          <w:p>
            <w:pPr>
              <w:jc w:val="center"/>
              <w:spacing w:after="0" w:line="181" w:lineRule="exact"/>
              <w:rPr>
                <w:sz w:val="20"/>
                <w:szCs w:val="20"/>
                <w:color w:val="auto"/>
              </w:rPr>
            </w:pPr>
            <w:r>
              <w:rPr>
                <w:rFonts w:ascii="Arial" w:cs="Arial" w:eastAsia="Arial" w:hAnsi="Arial"/>
                <w:sz w:val="16"/>
                <w:szCs w:val="16"/>
                <w:b w:val="1"/>
                <w:bCs w:val="1"/>
                <w:color w:val="auto"/>
              </w:rPr>
              <w:t>Date</w:t>
            </w:r>
          </w:p>
        </w:tc>
        <w:tc>
          <w:tcPr>
            <w:tcW w:w="20" w:type="dxa"/>
            <w:vAlign w:val="bottom"/>
          </w:tcPr>
          <w:p>
            <w:pPr>
              <w:spacing w:after="0"/>
              <w:rPr>
                <w:sz w:val="15"/>
                <w:szCs w:val="15"/>
                <w:color w:val="auto"/>
              </w:rPr>
            </w:pPr>
          </w:p>
        </w:tc>
        <w:tc>
          <w:tcPr>
            <w:tcW w:w="620" w:type="dxa"/>
            <w:vAlign w:val="bottom"/>
            <w:shd w:val="clear" w:color="auto" w:fill="9ADAF6"/>
          </w:tcPr>
          <w:p>
            <w:pPr>
              <w:jc w:val="center"/>
              <w:spacing w:after="0" w:line="181" w:lineRule="exact"/>
              <w:rPr>
                <w:sz w:val="20"/>
                <w:szCs w:val="20"/>
                <w:color w:val="auto"/>
              </w:rPr>
            </w:pPr>
            <w:r>
              <w:rPr>
                <w:rFonts w:ascii="Arial" w:cs="Arial" w:eastAsia="Arial" w:hAnsi="Arial"/>
                <w:sz w:val="16"/>
                <w:szCs w:val="16"/>
                <w:b w:val="1"/>
                <w:bCs w:val="1"/>
                <w:color w:val="auto"/>
                <w:w w:val="97"/>
              </w:rPr>
              <w:t>Date</w:t>
            </w:r>
          </w:p>
        </w:tc>
        <w:tc>
          <w:tcPr>
            <w:tcW w:w="20" w:type="dxa"/>
            <w:vAlign w:val="bottom"/>
          </w:tcPr>
          <w:p>
            <w:pPr>
              <w:spacing w:after="0"/>
              <w:rPr>
                <w:sz w:val="15"/>
                <w:szCs w:val="15"/>
                <w:color w:val="auto"/>
              </w:rPr>
            </w:pPr>
          </w:p>
        </w:tc>
        <w:tc>
          <w:tcPr>
            <w:tcW w:w="660" w:type="dxa"/>
            <w:vAlign w:val="bottom"/>
            <w:gridSpan w:val="3"/>
            <w:shd w:val="clear" w:color="auto" w:fill="9ADAF6"/>
          </w:tcPr>
          <w:p>
            <w:pPr>
              <w:jc w:val="center"/>
              <w:spacing w:after="0" w:line="181" w:lineRule="exact"/>
              <w:rPr>
                <w:sz w:val="20"/>
                <w:szCs w:val="20"/>
                <w:color w:val="auto"/>
              </w:rPr>
            </w:pPr>
            <w:r>
              <w:rPr>
                <w:rFonts w:ascii="Arial" w:cs="Arial" w:eastAsia="Arial" w:hAnsi="Arial"/>
                <w:sz w:val="16"/>
                <w:szCs w:val="16"/>
                <w:b w:val="1"/>
                <w:bCs w:val="1"/>
                <w:color w:val="auto"/>
                <w:w w:val="99"/>
              </w:rPr>
              <w:t>Claimed</w:t>
            </w:r>
          </w:p>
        </w:tc>
        <w:tc>
          <w:tcPr>
            <w:tcW w:w="20" w:type="dxa"/>
            <w:vAlign w:val="bottom"/>
          </w:tcPr>
          <w:p>
            <w:pPr>
              <w:spacing w:after="0"/>
              <w:rPr>
                <w:sz w:val="15"/>
                <w:szCs w:val="15"/>
                <w:color w:val="auto"/>
              </w:rPr>
            </w:pPr>
          </w:p>
        </w:tc>
        <w:tc>
          <w:tcPr>
            <w:tcW w:w="900" w:type="dxa"/>
            <w:vAlign w:val="bottom"/>
            <w:shd w:val="clear" w:color="auto" w:fill="9ADAF6"/>
          </w:tcPr>
          <w:p>
            <w:pPr>
              <w:jc w:val="center"/>
              <w:spacing w:after="0" w:line="181" w:lineRule="exact"/>
              <w:rPr>
                <w:sz w:val="20"/>
                <w:szCs w:val="20"/>
                <w:color w:val="auto"/>
              </w:rPr>
            </w:pPr>
            <w:r>
              <w:rPr>
                <w:rFonts w:ascii="Arial" w:cs="Arial" w:eastAsia="Arial" w:hAnsi="Arial"/>
                <w:sz w:val="16"/>
                <w:szCs w:val="16"/>
                <w:b w:val="1"/>
                <w:bCs w:val="1"/>
                <w:color w:val="auto"/>
                <w:w w:val="99"/>
              </w:rPr>
              <w:t>with Fee</w:t>
            </w:r>
          </w:p>
        </w:tc>
        <w:tc>
          <w:tcPr>
            <w:tcW w:w="20" w:type="dxa"/>
            <w:vAlign w:val="bottom"/>
          </w:tcPr>
          <w:p>
            <w:pPr>
              <w:spacing w:after="0"/>
              <w:rPr>
                <w:sz w:val="15"/>
                <w:szCs w:val="15"/>
                <w:color w:val="auto"/>
              </w:rPr>
            </w:pPr>
          </w:p>
        </w:tc>
        <w:tc>
          <w:tcPr>
            <w:tcW w:w="100" w:type="dxa"/>
            <w:vAlign w:val="bottom"/>
            <w:shd w:val="clear" w:color="auto" w:fill="9ADAF6"/>
          </w:tcPr>
          <w:p>
            <w:pPr>
              <w:spacing w:after="0"/>
              <w:rPr>
                <w:sz w:val="15"/>
                <w:szCs w:val="15"/>
                <w:color w:val="auto"/>
              </w:rPr>
            </w:pPr>
          </w:p>
        </w:tc>
        <w:tc>
          <w:tcPr>
            <w:tcW w:w="700" w:type="dxa"/>
            <w:vAlign w:val="bottom"/>
            <w:gridSpan w:val="3"/>
            <w:shd w:val="clear" w:color="auto" w:fill="9ADAF6"/>
          </w:tcPr>
          <w:p>
            <w:pPr>
              <w:jc w:val="center"/>
              <w:ind w:right="20"/>
              <w:spacing w:after="0" w:line="181" w:lineRule="exact"/>
              <w:rPr>
                <w:sz w:val="20"/>
                <w:szCs w:val="20"/>
                <w:color w:val="auto"/>
              </w:rPr>
            </w:pPr>
            <w:r>
              <w:rPr>
                <w:rFonts w:ascii="Arial" w:cs="Arial" w:eastAsia="Arial" w:hAnsi="Arial"/>
                <w:sz w:val="16"/>
                <w:szCs w:val="16"/>
                <w:b w:val="1"/>
                <w:bCs w:val="1"/>
                <w:color w:val="auto"/>
                <w:w w:val="99"/>
              </w:rPr>
              <w:t>with Fee</w:t>
            </w:r>
          </w:p>
        </w:tc>
        <w:tc>
          <w:tcPr>
            <w:tcW w:w="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gridSpan w:val="3"/>
            <w:shd w:val="clear" w:color="auto" w:fill="9ADAF6"/>
          </w:tcPr>
          <w:p>
            <w:pPr>
              <w:jc w:val="center"/>
              <w:spacing w:after="0" w:line="181" w:lineRule="exact"/>
              <w:rPr>
                <w:sz w:val="20"/>
                <w:szCs w:val="20"/>
                <w:color w:val="auto"/>
              </w:rPr>
            </w:pPr>
            <w:r>
              <w:rPr>
                <w:rFonts w:ascii="Arial" w:cs="Arial" w:eastAsia="Arial" w:hAnsi="Arial"/>
                <w:sz w:val="16"/>
                <w:szCs w:val="16"/>
                <w:b w:val="1"/>
                <w:bCs w:val="1"/>
                <w:color w:val="auto"/>
                <w:w w:val="99"/>
              </w:rPr>
              <w:t>with Fee</w:t>
            </w:r>
          </w:p>
        </w:tc>
        <w:tc>
          <w:tcPr>
            <w:tcW w:w="20" w:type="dxa"/>
            <w:vAlign w:val="bottom"/>
          </w:tcPr>
          <w:p>
            <w:pPr>
              <w:spacing w:after="0"/>
              <w:rPr>
                <w:sz w:val="15"/>
                <w:szCs w:val="15"/>
                <w:color w:val="auto"/>
              </w:rPr>
            </w:pPr>
          </w:p>
        </w:tc>
        <w:tc>
          <w:tcPr>
            <w:tcW w:w="980" w:type="dxa"/>
            <w:vAlign w:val="bottom"/>
            <w:gridSpan w:val="3"/>
            <w:shd w:val="clear" w:color="auto" w:fill="9ADAF6"/>
          </w:tcPr>
          <w:p>
            <w:pPr>
              <w:jc w:val="center"/>
              <w:spacing w:after="0" w:line="181" w:lineRule="exact"/>
              <w:rPr>
                <w:sz w:val="20"/>
                <w:szCs w:val="20"/>
                <w:color w:val="auto"/>
              </w:rPr>
            </w:pPr>
            <w:r>
              <w:rPr>
                <w:rFonts w:ascii="Arial" w:cs="Arial" w:eastAsia="Arial" w:hAnsi="Arial"/>
                <w:sz w:val="16"/>
                <w:szCs w:val="16"/>
                <w:b w:val="1"/>
                <w:bCs w:val="1"/>
                <w:color w:val="auto"/>
              </w:rPr>
              <w:t>Associated</w:t>
            </w:r>
          </w:p>
        </w:tc>
        <w:tc>
          <w:tcPr>
            <w:tcW w:w="20" w:type="dxa"/>
            <w:vAlign w:val="bottom"/>
          </w:tcPr>
          <w:p>
            <w:pPr>
              <w:spacing w:after="0"/>
              <w:rPr>
                <w:sz w:val="15"/>
                <w:szCs w:val="15"/>
                <w:color w:val="auto"/>
              </w:rPr>
            </w:pPr>
          </w:p>
        </w:tc>
        <w:tc>
          <w:tcPr>
            <w:tcW w:w="640" w:type="dxa"/>
            <w:vAlign w:val="bottom"/>
            <w:shd w:val="clear" w:color="auto" w:fill="9ADAF6"/>
          </w:tcPr>
          <w:p>
            <w:pPr>
              <w:jc w:val="center"/>
              <w:spacing w:after="0" w:line="181" w:lineRule="exact"/>
              <w:rPr>
                <w:sz w:val="20"/>
                <w:szCs w:val="20"/>
                <w:color w:val="auto"/>
              </w:rPr>
            </w:pPr>
            <w:r>
              <w:rPr>
                <w:rFonts w:ascii="Arial" w:cs="Arial" w:eastAsia="Arial" w:hAnsi="Arial"/>
                <w:sz w:val="16"/>
                <w:szCs w:val="16"/>
                <w:b w:val="1"/>
                <w:bCs w:val="1"/>
                <w:color w:val="auto"/>
              </w:rPr>
              <w:t>Fee</w:t>
            </w:r>
          </w:p>
        </w:tc>
        <w:tc>
          <w:tcPr>
            <w:tcW w:w="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0"/>
        </w:trPr>
        <w:tc>
          <w:tcPr>
            <w:tcW w:w="40" w:type="dxa"/>
            <w:vAlign w:val="bottom"/>
            <w:tcBorders>
              <w:left w:val="single" w:sz="8" w:color="auto"/>
            </w:tcBorders>
          </w:tcPr>
          <w:p>
            <w:pPr>
              <w:spacing w:after="0"/>
              <w:rPr>
                <w:sz w:val="9"/>
                <w:szCs w:val="9"/>
                <w:color w:val="auto"/>
              </w:rPr>
            </w:pPr>
          </w:p>
        </w:tc>
        <w:tc>
          <w:tcPr>
            <w:tcW w:w="440" w:type="dxa"/>
            <w:vAlign w:val="bottom"/>
            <w:shd w:val="clear" w:color="auto" w:fill="9ADAF6"/>
          </w:tcPr>
          <w:p>
            <w:pPr>
              <w:spacing w:after="0"/>
              <w:rPr>
                <w:sz w:val="9"/>
                <w:szCs w:val="9"/>
                <w:color w:val="auto"/>
              </w:rPr>
            </w:pPr>
          </w:p>
        </w:tc>
        <w:tc>
          <w:tcPr>
            <w:tcW w:w="20" w:type="dxa"/>
            <w:vAlign w:val="bottom"/>
            <w:shd w:val="clear" w:color="auto" w:fill="9ADAF6"/>
          </w:tcPr>
          <w:p>
            <w:pPr>
              <w:spacing w:after="0"/>
              <w:rPr>
                <w:sz w:val="9"/>
                <w:szCs w:val="9"/>
                <w:color w:val="auto"/>
              </w:rPr>
            </w:pPr>
          </w:p>
        </w:tc>
        <w:tc>
          <w:tcPr>
            <w:tcW w:w="54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shd w:val="clear" w:color="auto" w:fill="9ADAF6"/>
          </w:tcPr>
          <w:p>
            <w:pPr>
              <w:spacing w:after="0"/>
              <w:rPr>
                <w:sz w:val="9"/>
                <w:szCs w:val="9"/>
                <w:color w:val="auto"/>
              </w:rPr>
            </w:pPr>
          </w:p>
        </w:tc>
        <w:tc>
          <w:tcPr>
            <w:tcW w:w="20" w:type="dxa"/>
            <w:vAlign w:val="bottom"/>
            <w:shd w:val="clear" w:color="auto" w:fill="9ADAF6"/>
          </w:tcPr>
          <w:p>
            <w:pPr>
              <w:spacing w:after="0"/>
              <w:rPr>
                <w:sz w:val="9"/>
                <w:szCs w:val="9"/>
                <w:color w:val="auto"/>
              </w:rPr>
            </w:pPr>
          </w:p>
        </w:tc>
        <w:tc>
          <w:tcPr>
            <w:tcW w:w="136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76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shd w:val="clear" w:color="auto" w:fill="9ADAF6"/>
          </w:tcPr>
          <w:p>
            <w:pPr>
              <w:spacing w:after="0"/>
              <w:rPr>
                <w:sz w:val="9"/>
                <w:szCs w:val="9"/>
                <w:color w:val="auto"/>
              </w:rPr>
            </w:pPr>
          </w:p>
        </w:tc>
        <w:tc>
          <w:tcPr>
            <w:tcW w:w="20" w:type="dxa"/>
            <w:vAlign w:val="bottom"/>
            <w:shd w:val="clear" w:color="auto" w:fill="9ADAF6"/>
          </w:tcPr>
          <w:p>
            <w:pPr>
              <w:spacing w:after="0"/>
              <w:rPr>
                <w:sz w:val="9"/>
                <w:szCs w:val="9"/>
                <w:color w:val="auto"/>
              </w:rPr>
            </w:pPr>
          </w:p>
        </w:tc>
        <w:tc>
          <w:tcPr>
            <w:tcW w:w="38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shd w:val="clear" w:color="auto" w:fill="9ADAF6"/>
          </w:tcPr>
          <w:p>
            <w:pPr>
              <w:jc w:val="center"/>
              <w:spacing w:after="0" w:line="110" w:lineRule="exact"/>
              <w:rPr>
                <w:sz w:val="20"/>
                <w:szCs w:val="20"/>
                <w:color w:val="auto"/>
              </w:rPr>
            </w:pPr>
            <w:r>
              <w:rPr>
                <w:rFonts w:ascii="Arial" w:cs="Arial" w:eastAsia="Arial" w:hAnsi="Arial"/>
                <w:sz w:val="12"/>
                <w:szCs w:val="12"/>
                <w:b w:val="1"/>
                <w:bCs w:val="1"/>
                <w:color w:val="auto"/>
              </w:rPr>
              <w:t>Offset</w:t>
            </w:r>
          </w:p>
        </w:tc>
        <w:tc>
          <w:tcPr>
            <w:tcW w:w="20" w:type="dxa"/>
            <w:vAlign w:val="bottom"/>
          </w:tcPr>
          <w:p>
            <w:pPr>
              <w:spacing w:after="0"/>
              <w:rPr>
                <w:sz w:val="9"/>
                <w:szCs w:val="9"/>
                <w:color w:val="auto"/>
              </w:rPr>
            </w:pPr>
          </w:p>
        </w:tc>
        <w:tc>
          <w:tcPr>
            <w:tcW w:w="100" w:type="dxa"/>
            <w:vAlign w:val="bottom"/>
            <w:shd w:val="clear" w:color="auto" w:fill="9ADAF6"/>
          </w:tcPr>
          <w:p>
            <w:pPr>
              <w:spacing w:after="0"/>
              <w:rPr>
                <w:sz w:val="9"/>
                <w:szCs w:val="9"/>
                <w:color w:val="auto"/>
              </w:rPr>
            </w:pPr>
          </w:p>
        </w:tc>
        <w:tc>
          <w:tcPr>
            <w:tcW w:w="700" w:type="dxa"/>
            <w:vAlign w:val="bottom"/>
            <w:gridSpan w:val="3"/>
            <w:shd w:val="clear" w:color="auto" w:fill="9ADAF6"/>
          </w:tcPr>
          <w:p>
            <w:pPr>
              <w:jc w:val="center"/>
              <w:ind w:right="40"/>
              <w:spacing w:after="0" w:line="110" w:lineRule="exact"/>
              <w:rPr>
                <w:sz w:val="20"/>
                <w:szCs w:val="20"/>
                <w:color w:val="auto"/>
              </w:rPr>
            </w:pPr>
            <w:r>
              <w:rPr>
                <w:rFonts w:ascii="Arial" w:cs="Arial" w:eastAsia="Arial" w:hAnsi="Arial"/>
                <w:sz w:val="12"/>
                <w:szCs w:val="12"/>
                <w:b w:val="1"/>
                <w:bCs w:val="1"/>
                <w:color w:val="auto"/>
              </w:rPr>
              <w:t>Offset</w:t>
            </w:r>
          </w:p>
        </w:tc>
        <w:tc>
          <w:tcPr>
            <w:tcW w:w="8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880" w:type="dxa"/>
            <w:vAlign w:val="bottom"/>
            <w:gridSpan w:val="3"/>
            <w:shd w:val="clear" w:color="auto" w:fill="9ADAF6"/>
          </w:tcPr>
          <w:p>
            <w:pPr>
              <w:jc w:val="center"/>
              <w:spacing w:after="0" w:line="110" w:lineRule="exact"/>
              <w:rPr>
                <w:sz w:val="20"/>
                <w:szCs w:val="20"/>
                <w:color w:val="auto"/>
              </w:rPr>
            </w:pPr>
            <w:r>
              <w:rPr>
                <w:rFonts w:ascii="Arial" w:cs="Arial" w:eastAsia="Arial" w:hAnsi="Arial"/>
                <w:sz w:val="12"/>
                <w:szCs w:val="12"/>
                <w:b w:val="1"/>
                <w:bCs w:val="1"/>
                <w:color w:val="auto"/>
              </w:rPr>
              <w:t>Offset</w:t>
            </w:r>
          </w:p>
        </w:tc>
        <w:tc>
          <w:tcPr>
            <w:tcW w:w="20" w:type="dxa"/>
            <w:vAlign w:val="bottom"/>
          </w:tcPr>
          <w:p>
            <w:pPr>
              <w:spacing w:after="0"/>
              <w:rPr>
                <w:sz w:val="9"/>
                <w:szCs w:val="9"/>
                <w:color w:val="auto"/>
              </w:rPr>
            </w:pPr>
          </w:p>
        </w:tc>
        <w:tc>
          <w:tcPr>
            <w:tcW w:w="980" w:type="dxa"/>
            <w:vAlign w:val="bottom"/>
            <w:gridSpan w:val="3"/>
            <w:shd w:val="clear" w:color="auto" w:fill="9ADAF6"/>
          </w:tcPr>
          <w:p>
            <w:pPr>
              <w:jc w:val="center"/>
              <w:spacing w:after="0" w:line="110" w:lineRule="exact"/>
              <w:rPr>
                <w:sz w:val="20"/>
                <w:szCs w:val="20"/>
                <w:color w:val="auto"/>
              </w:rPr>
            </w:pPr>
            <w:r>
              <w:rPr>
                <w:rFonts w:ascii="Arial" w:cs="Arial" w:eastAsia="Arial" w:hAnsi="Arial"/>
                <w:sz w:val="12"/>
                <w:szCs w:val="12"/>
                <w:b w:val="1"/>
                <w:bCs w:val="1"/>
                <w:color w:val="auto"/>
              </w:rPr>
              <w:t>with Fee</w:t>
            </w:r>
          </w:p>
        </w:tc>
        <w:tc>
          <w:tcPr>
            <w:tcW w:w="20" w:type="dxa"/>
            <w:vAlign w:val="bottom"/>
          </w:tcPr>
          <w:p>
            <w:pPr>
              <w:spacing w:after="0"/>
              <w:rPr>
                <w:sz w:val="9"/>
                <w:szCs w:val="9"/>
                <w:color w:val="auto"/>
              </w:rPr>
            </w:pPr>
          </w:p>
        </w:tc>
        <w:tc>
          <w:tcPr>
            <w:tcW w:w="640" w:type="dxa"/>
            <w:vAlign w:val="bottom"/>
            <w:shd w:val="clear" w:color="auto" w:fill="9ADAF6"/>
          </w:tcPr>
          <w:p>
            <w:pPr>
              <w:jc w:val="center"/>
              <w:spacing w:after="0" w:line="110" w:lineRule="exact"/>
              <w:rPr>
                <w:sz w:val="20"/>
                <w:szCs w:val="20"/>
                <w:color w:val="auto"/>
              </w:rPr>
            </w:pPr>
            <w:r>
              <w:rPr>
                <w:rFonts w:ascii="Arial" w:cs="Arial" w:eastAsia="Arial" w:hAnsi="Arial"/>
                <w:sz w:val="12"/>
                <w:szCs w:val="12"/>
                <w:b w:val="1"/>
                <w:bCs w:val="1"/>
                <w:color w:val="auto"/>
              </w:rPr>
              <w:t>Offset</w:t>
            </w:r>
          </w:p>
        </w:tc>
        <w:tc>
          <w:tcPr>
            <w:tcW w:w="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81"/>
        </w:trPr>
        <w:tc>
          <w:tcPr>
            <w:tcW w:w="40" w:type="dxa"/>
            <w:vAlign w:val="bottom"/>
            <w:tcBorders>
              <w:left w:val="single" w:sz="8" w:color="auto"/>
            </w:tcBorders>
          </w:tcPr>
          <w:p>
            <w:pPr>
              <w:spacing w:after="0"/>
              <w:rPr>
                <w:sz w:val="15"/>
                <w:szCs w:val="15"/>
                <w:color w:val="auto"/>
              </w:rPr>
            </w:pPr>
          </w:p>
        </w:tc>
        <w:tc>
          <w:tcPr>
            <w:tcW w:w="44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5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13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3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9ADAF6"/>
          </w:tcPr>
          <w:p>
            <w:pPr>
              <w:jc w:val="center"/>
              <w:spacing w:after="0" w:line="181" w:lineRule="exact"/>
              <w:rPr>
                <w:sz w:val="20"/>
                <w:szCs w:val="20"/>
                <w:color w:val="auto"/>
              </w:rPr>
            </w:pPr>
            <w:r>
              <w:rPr>
                <w:rFonts w:ascii="Arial" w:cs="Arial" w:eastAsia="Arial" w:hAnsi="Arial"/>
                <w:sz w:val="16"/>
                <w:szCs w:val="16"/>
                <w:b w:val="1"/>
                <w:bCs w:val="1"/>
                <w:color w:val="auto"/>
                <w:w w:val="99"/>
              </w:rPr>
              <w:t>Claimed</w:t>
            </w:r>
          </w:p>
        </w:tc>
        <w:tc>
          <w:tcPr>
            <w:tcW w:w="20" w:type="dxa"/>
            <w:vAlign w:val="bottom"/>
          </w:tcPr>
          <w:p>
            <w:pPr>
              <w:spacing w:after="0"/>
              <w:rPr>
                <w:sz w:val="15"/>
                <w:szCs w:val="15"/>
                <w:color w:val="auto"/>
              </w:rPr>
            </w:pPr>
          </w:p>
        </w:tc>
        <w:tc>
          <w:tcPr>
            <w:tcW w:w="100" w:type="dxa"/>
            <w:vAlign w:val="bottom"/>
            <w:shd w:val="clear" w:color="auto" w:fill="9ADAF6"/>
          </w:tcPr>
          <w:p>
            <w:pPr>
              <w:spacing w:after="0"/>
              <w:rPr>
                <w:sz w:val="15"/>
                <w:szCs w:val="15"/>
                <w:color w:val="auto"/>
              </w:rPr>
            </w:pPr>
          </w:p>
        </w:tc>
        <w:tc>
          <w:tcPr>
            <w:tcW w:w="700" w:type="dxa"/>
            <w:vAlign w:val="bottom"/>
            <w:gridSpan w:val="3"/>
            <w:shd w:val="clear" w:color="auto" w:fill="9ADAF6"/>
          </w:tcPr>
          <w:p>
            <w:pPr>
              <w:jc w:val="center"/>
              <w:ind w:right="40"/>
              <w:spacing w:after="0" w:line="181" w:lineRule="exact"/>
              <w:rPr>
                <w:sz w:val="20"/>
                <w:szCs w:val="20"/>
                <w:color w:val="auto"/>
              </w:rPr>
            </w:pPr>
            <w:r>
              <w:rPr>
                <w:rFonts w:ascii="Arial" w:cs="Arial" w:eastAsia="Arial" w:hAnsi="Arial"/>
                <w:sz w:val="16"/>
                <w:szCs w:val="16"/>
                <w:b w:val="1"/>
                <w:bCs w:val="1"/>
                <w:color w:val="auto"/>
                <w:w w:val="99"/>
              </w:rPr>
              <w:t>Claimed</w:t>
            </w:r>
          </w:p>
        </w:tc>
        <w:tc>
          <w:tcPr>
            <w:tcW w:w="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gridSpan w:val="3"/>
            <w:shd w:val="clear" w:color="auto" w:fill="9ADAF6"/>
          </w:tcPr>
          <w:p>
            <w:pPr>
              <w:jc w:val="center"/>
              <w:spacing w:after="0" w:line="181" w:lineRule="exact"/>
              <w:rPr>
                <w:sz w:val="20"/>
                <w:szCs w:val="20"/>
                <w:color w:val="auto"/>
              </w:rPr>
            </w:pPr>
            <w:r>
              <w:rPr>
                <w:rFonts w:ascii="Arial" w:cs="Arial" w:eastAsia="Arial" w:hAnsi="Arial"/>
                <w:sz w:val="16"/>
                <w:szCs w:val="16"/>
                <w:b w:val="1"/>
                <w:bCs w:val="1"/>
                <w:color w:val="auto"/>
              </w:rPr>
              <w:t>Claimed</w:t>
            </w:r>
          </w:p>
        </w:tc>
        <w:tc>
          <w:tcPr>
            <w:tcW w:w="20" w:type="dxa"/>
            <w:vAlign w:val="bottom"/>
          </w:tcPr>
          <w:p>
            <w:pPr>
              <w:spacing w:after="0"/>
              <w:rPr>
                <w:sz w:val="15"/>
                <w:szCs w:val="15"/>
                <w:color w:val="auto"/>
              </w:rPr>
            </w:pPr>
          </w:p>
        </w:tc>
        <w:tc>
          <w:tcPr>
            <w:tcW w:w="980" w:type="dxa"/>
            <w:vAlign w:val="bottom"/>
            <w:gridSpan w:val="3"/>
            <w:shd w:val="clear" w:color="auto" w:fill="9ADAF6"/>
          </w:tcPr>
          <w:p>
            <w:pPr>
              <w:jc w:val="center"/>
              <w:spacing w:after="0" w:line="181" w:lineRule="exact"/>
              <w:rPr>
                <w:sz w:val="20"/>
                <w:szCs w:val="20"/>
                <w:color w:val="auto"/>
              </w:rPr>
            </w:pPr>
            <w:r>
              <w:rPr>
                <w:rFonts w:ascii="Arial" w:cs="Arial" w:eastAsia="Arial" w:hAnsi="Arial"/>
                <w:sz w:val="16"/>
                <w:szCs w:val="16"/>
                <w:b w:val="1"/>
                <w:bCs w:val="1"/>
                <w:color w:val="auto"/>
                <w:w w:val="99"/>
              </w:rPr>
              <w:t>Offset</w:t>
            </w:r>
          </w:p>
        </w:tc>
        <w:tc>
          <w:tcPr>
            <w:tcW w:w="20" w:type="dxa"/>
            <w:vAlign w:val="bottom"/>
          </w:tcPr>
          <w:p>
            <w:pPr>
              <w:spacing w:after="0"/>
              <w:rPr>
                <w:sz w:val="15"/>
                <w:szCs w:val="15"/>
                <w:color w:val="auto"/>
              </w:rPr>
            </w:pPr>
          </w:p>
        </w:tc>
        <w:tc>
          <w:tcPr>
            <w:tcW w:w="640" w:type="dxa"/>
            <w:vAlign w:val="bottom"/>
            <w:shd w:val="clear" w:color="auto" w:fill="9ADAF6"/>
          </w:tcPr>
          <w:p>
            <w:pPr>
              <w:jc w:val="center"/>
              <w:spacing w:after="0" w:line="181" w:lineRule="exact"/>
              <w:rPr>
                <w:sz w:val="20"/>
                <w:szCs w:val="20"/>
                <w:color w:val="auto"/>
              </w:rPr>
            </w:pPr>
            <w:r>
              <w:rPr>
                <w:rFonts w:ascii="Arial" w:cs="Arial" w:eastAsia="Arial" w:hAnsi="Arial"/>
                <w:sz w:val="16"/>
                <w:szCs w:val="16"/>
                <w:b w:val="1"/>
                <w:bCs w:val="1"/>
                <w:color w:val="auto"/>
                <w:w w:val="99"/>
              </w:rPr>
              <w:t>Source</w:t>
            </w:r>
          </w:p>
        </w:tc>
        <w:tc>
          <w:tcPr>
            <w:tcW w:w="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0" w:type="dxa"/>
            <w:vAlign w:val="bottom"/>
            <w:tcBorders>
              <w:left w:val="single" w:sz="8" w:color="auto"/>
            </w:tcBorders>
          </w:tcPr>
          <w:p>
            <w:pPr>
              <w:spacing w:after="0"/>
              <w:rPr>
                <w:sz w:val="18"/>
                <w:szCs w:val="18"/>
                <w:color w:val="auto"/>
              </w:rPr>
            </w:pPr>
          </w:p>
        </w:tc>
        <w:tc>
          <w:tcPr>
            <w:tcW w:w="440" w:type="dxa"/>
            <w:vAlign w:val="bottom"/>
            <w:shd w:val="clear" w:color="auto" w:fill="9ADAF6"/>
          </w:tcPr>
          <w:p>
            <w:pPr>
              <w:spacing w:after="0"/>
              <w:rPr>
                <w:sz w:val="18"/>
                <w:szCs w:val="18"/>
                <w:color w:val="auto"/>
              </w:rPr>
            </w:pPr>
          </w:p>
        </w:tc>
        <w:tc>
          <w:tcPr>
            <w:tcW w:w="20" w:type="dxa"/>
            <w:vAlign w:val="bottom"/>
            <w:shd w:val="clear" w:color="auto" w:fill="9ADAF6"/>
          </w:tcPr>
          <w:p>
            <w:pPr>
              <w:spacing w:after="0"/>
              <w:rPr>
                <w:sz w:val="18"/>
                <w:szCs w:val="18"/>
                <w:color w:val="auto"/>
              </w:rPr>
            </w:pPr>
          </w:p>
        </w:tc>
        <w:tc>
          <w:tcPr>
            <w:tcW w:w="54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shd w:val="clear" w:color="auto" w:fill="9ADAF6"/>
          </w:tcPr>
          <w:p>
            <w:pPr>
              <w:spacing w:after="0"/>
              <w:rPr>
                <w:sz w:val="18"/>
                <w:szCs w:val="18"/>
                <w:color w:val="auto"/>
              </w:rPr>
            </w:pPr>
          </w:p>
        </w:tc>
        <w:tc>
          <w:tcPr>
            <w:tcW w:w="20" w:type="dxa"/>
            <w:vAlign w:val="bottom"/>
            <w:shd w:val="clear" w:color="auto" w:fill="9ADAF6"/>
          </w:tcPr>
          <w:p>
            <w:pPr>
              <w:spacing w:after="0"/>
              <w:rPr>
                <w:sz w:val="18"/>
                <w:szCs w:val="18"/>
                <w:color w:val="auto"/>
              </w:rPr>
            </w:pPr>
          </w:p>
        </w:tc>
        <w:tc>
          <w:tcPr>
            <w:tcW w:w="13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shd w:val="clear" w:color="auto" w:fill="9ADAF6"/>
          </w:tcPr>
          <w:p>
            <w:pPr>
              <w:spacing w:after="0"/>
              <w:rPr>
                <w:sz w:val="18"/>
                <w:szCs w:val="18"/>
                <w:color w:val="auto"/>
              </w:rPr>
            </w:pPr>
          </w:p>
        </w:tc>
        <w:tc>
          <w:tcPr>
            <w:tcW w:w="20" w:type="dxa"/>
            <w:vAlign w:val="bottom"/>
            <w:shd w:val="clear" w:color="auto" w:fill="9ADAF6"/>
          </w:tcPr>
          <w:p>
            <w:pPr>
              <w:spacing w:after="0"/>
              <w:rPr>
                <w:sz w:val="18"/>
                <w:szCs w:val="18"/>
                <w:color w:val="auto"/>
              </w:rPr>
            </w:pPr>
          </w:p>
        </w:tc>
        <w:tc>
          <w:tcPr>
            <w:tcW w:w="3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shd w:val="clear" w:color="auto" w:fill="9ADAF6"/>
          </w:tcPr>
          <w:p>
            <w:pPr>
              <w:spacing w:after="0"/>
              <w:rPr>
                <w:sz w:val="18"/>
                <w:szCs w:val="18"/>
                <w:color w:val="auto"/>
              </w:rPr>
            </w:pPr>
          </w:p>
        </w:tc>
        <w:tc>
          <w:tcPr>
            <w:tcW w:w="600" w:type="dxa"/>
            <w:vAlign w:val="bottom"/>
            <w:shd w:val="clear" w:color="auto" w:fill="9ADAF6"/>
          </w:tcPr>
          <w:p>
            <w:pPr>
              <w:spacing w:after="0"/>
              <w:rPr>
                <w:sz w:val="18"/>
                <w:szCs w:val="18"/>
                <w:color w:val="auto"/>
              </w:rPr>
            </w:pPr>
          </w:p>
        </w:tc>
        <w:tc>
          <w:tcPr>
            <w:tcW w:w="20" w:type="dxa"/>
            <w:vAlign w:val="bottom"/>
            <w:shd w:val="clear" w:color="auto" w:fill="9ADAF6"/>
          </w:tcPr>
          <w:p>
            <w:pPr>
              <w:spacing w:after="0"/>
              <w:rPr>
                <w:sz w:val="18"/>
                <w:szCs w:val="18"/>
                <w:color w:val="auto"/>
              </w:rPr>
            </w:pPr>
          </w:p>
        </w:tc>
        <w:tc>
          <w:tcPr>
            <w:tcW w:w="80" w:type="dxa"/>
            <w:vAlign w:val="bottom"/>
            <w:shd w:val="clear" w:color="auto" w:fill="9ADAF6"/>
          </w:tcPr>
          <w:p>
            <w:pPr>
              <w:spacing w:after="0"/>
              <w:rPr>
                <w:sz w:val="18"/>
                <w:szCs w:val="18"/>
                <w:color w:val="auto"/>
              </w:rPr>
            </w:pPr>
          </w:p>
        </w:tc>
        <w:tc>
          <w:tcPr>
            <w:tcW w:w="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shd w:val="clear" w:color="auto" w:fill="9ADAF6"/>
          </w:tcPr>
          <w:p>
            <w:pPr>
              <w:spacing w:after="0"/>
              <w:rPr>
                <w:sz w:val="18"/>
                <w:szCs w:val="18"/>
                <w:color w:val="auto"/>
              </w:rPr>
            </w:pPr>
          </w:p>
        </w:tc>
        <w:tc>
          <w:tcPr>
            <w:tcW w:w="20" w:type="dxa"/>
            <w:vAlign w:val="bottom"/>
            <w:shd w:val="clear" w:color="auto" w:fill="9ADAF6"/>
          </w:tcPr>
          <w:p>
            <w:pPr>
              <w:spacing w:after="0"/>
              <w:rPr>
                <w:sz w:val="18"/>
                <w:szCs w:val="18"/>
                <w:color w:val="auto"/>
              </w:rPr>
            </w:pPr>
          </w:p>
        </w:tc>
        <w:tc>
          <w:tcPr>
            <w:tcW w:w="3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Claimed</w:t>
            </w:r>
          </w:p>
        </w:tc>
        <w:tc>
          <w:tcPr>
            <w:tcW w:w="20" w:type="dxa"/>
            <w:vAlign w:val="bottom"/>
          </w:tcPr>
          <w:p>
            <w:pPr>
              <w:spacing w:after="0"/>
              <w:rPr>
                <w:sz w:val="18"/>
                <w:szCs w:val="18"/>
                <w:color w:val="auto"/>
              </w:rPr>
            </w:pPr>
          </w:p>
        </w:tc>
        <w:tc>
          <w:tcPr>
            <w:tcW w:w="640" w:type="dxa"/>
            <w:vAlign w:val="bottom"/>
            <w:shd w:val="clear" w:color="auto" w:fill="9ADAF6"/>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40" w:type="dxa"/>
            <w:vAlign w:val="bottom"/>
            <w:tcBorders>
              <w:left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740" w:type="dxa"/>
            <w:vAlign w:val="bottom"/>
            <w:gridSpan w:val="9"/>
          </w:tcPr>
          <w:p>
            <w:pPr>
              <w:ind w:left="500"/>
              <w:spacing w:after="0"/>
              <w:rPr>
                <w:sz w:val="20"/>
                <w:szCs w:val="20"/>
                <w:color w:val="auto"/>
              </w:rPr>
            </w:pPr>
            <w:r>
              <w:rPr>
                <w:rFonts w:ascii="Arial" w:cs="Arial" w:eastAsia="Arial" w:hAnsi="Arial"/>
                <w:sz w:val="16"/>
                <w:szCs w:val="16"/>
                <w:b w:val="1"/>
                <w:bCs w:val="1"/>
                <w:color w:val="auto"/>
              </w:rPr>
              <w:t>Rules 457(b) and 0-11(a)(2)</w:t>
            </w: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1"/>
        </w:trPr>
        <w:tc>
          <w:tcPr>
            <w:tcW w:w="40" w:type="dxa"/>
            <w:vAlign w:val="bottom"/>
            <w:tcBorders>
              <w:left w:val="single" w:sz="8" w:color="auto"/>
            </w:tcBorders>
          </w:tcPr>
          <w:p>
            <w:pPr>
              <w:spacing w:after="0"/>
              <w:rPr>
                <w:sz w:val="15"/>
                <w:szCs w:val="15"/>
                <w:color w:val="auto"/>
              </w:rPr>
            </w:pPr>
          </w:p>
        </w:tc>
        <w:tc>
          <w:tcPr>
            <w:tcW w:w="1000" w:type="dxa"/>
            <w:vAlign w:val="bottom"/>
            <w:gridSpan w:val="3"/>
            <w:shd w:val="clear" w:color="auto" w:fill="E7E7E2"/>
          </w:tcPr>
          <w:p>
            <w:pPr>
              <w:spacing w:after="0" w:line="181" w:lineRule="exact"/>
              <w:rPr>
                <w:sz w:val="20"/>
                <w:szCs w:val="20"/>
                <w:color w:val="auto"/>
              </w:rPr>
            </w:pPr>
            <w:r>
              <w:rPr>
                <w:rFonts w:ascii="Arial" w:cs="Arial" w:eastAsia="Arial" w:hAnsi="Arial"/>
                <w:sz w:val="16"/>
                <w:szCs w:val="16"/>
                <w:color w:val="auto"/>
              </w:rPr>
              <w:t>Fee Offset</w:t>
            </w: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3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60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E7E7E2"/>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0" w:type="dxa"/>
            <w:vAlign w:val="bottom"/>
            <w:tcBorders>
              <w:left w:val="single" w:sz="8" w:color="auto"/>
            </w:tcBorders>
          </w:tcPr>
          <w:p>
            <w:pPr>
              <w:spacing w:after="0"/>
              <w:rPr>
                <w:sz w:val="18"/>
                <w:szCs w:val="18"/>
                <w:color w:val="auto"/>
              </w:rPr>
            </w:pPr>
          </w:p>
        </w:tc>
        <w:tc>
          <w:tcPr>
            <w:tcW w:w="1000" w:type="dxa"/>
            <w:vAlign w:val="bottom"/>
            <w:gridSpan w:val="3"/>
            <w:shd w:val="clear" w:color="auto" w:fill="E7E7E2"/>
          </w:tcPr>
          <w:p>
            <w:pPr>
              <w:spacing w:after="0"/>
              <w:rPr>
                <w:sz w:val="20"/>
                <w:szCs w:val="20"/>
                <w:color w:val="auto"/>
              </w:rPr>
            </w:pPr>
            <w:r>
              <w:rPr>
                <w:rFonts w:ascii="Arial" w:cs="Arial" w:eastAsia="Arial" w:hAnsi="Arial"/>
                <w:sz w:val="16"/>
                <w:szCs w:val="16"/>
                <w:color w:val="auto"/>
              </w:rPr>
              <w:t>Claims</w:t>
            </w: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13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shd w:val="clear" w:color="auto" w:fill="E7E7E2"/>
          </w:tcPr>
          <w:p>
            <w:pPr>
              <w:spacing w:after="0"/>
              <w:rPr>
                <w:sz w:val="18"/>
                <w:szCs w:val="18"/>
                <w:color w:val="auto"/>
              </w:rPr>
            </w:pPr>
          </w:p>
        </w:tc>
        <w:tc>
          <w:tcPr>
            <w:tcW w:w="60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80" w:type="dxa"/>
            <w:vAlign w:val="bottom"/>
            <w:shd w:val="clear" w:color="auto" w:fill="E7E7E2"/>
          </w:tcPr>
          <w:p>
            <w:pPr>
              <w:spacing w:after="0"/>
              <w:rPr>
                <w:sz w:val="18"/>
                <w:szCs w:val="18"/>
                <w:color w:val="auto"/>
              </w:rPr>
            </w:pPr>
          </w:p>
        </w:tc>
        <w:tc>
          <w:tcPr>
            <w:tcW w:w="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2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shd w:val="clear" w:color="auto" w:fill="E7E7E2"/>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40" w:type="dxa"/>
            <w:vAlign w:val="bottom"/>
            <w:tcBorders>
              <w:left w:val="single" w:sz="8" w:color="auto"/>
            </w:tcBorders>
          </w:tcPr>
          <w:p>
            <w:pPr>
              <w:spacing w:after="0"/>
              <w:rPr>
                <w:sz w:val="14"/>
                <w:szCs w:val="14"/>
                <w:color w:val="auto"/>
              </w:rPr>
            </w:pPr>
          </w:p>
        </w:tc>
        <w:tc>
          <w:tcPr>
            <w:tcW w:w="1000" w:type="dxa"/>
            <w:vAlign w:val="bottom"/>
            <w:gridSpan w:val="3"/>
            <w:shd w:val="clear" w:color="auto" w:fill="E7E7E2"/>
          </w:tcPr>
          <w:p>
            <w:pPr>
              <w:spacing w:after="0" w:line="171" w:lineRule="exact"/>
              <w:rPr>
                <w:sz w:val="20"/>
                <w:szCs w:val="20"/>
                <w:color w:val="auto"/>
              </w:rPr>
            </w:pPr>
            <w:r>
              <w:rPr>
                <w:rFonts w:ascii="Arial" w:cs="Arial" w:eastAsia="Arial" w:hAnsi="Arial"/>
                <w:sz w:val="16"/>
                <w:szCs w:val="16"/>
                <w:color w:val="auto"/>
              </w:rPr>
              <w:t>Fee Offset</w:t>
            </w:r>
          </w:p>
        </w:tc>
        <w:tc>
          <w:tcPr>
            <w:tcW w:w="20" w:type="dxa"/>
            <w:vAlign w:val="bottom"/>
            <w:vMerge w:val="continue"/>
          </w:tcPr>
          <w:p>
            <w:pPr>
              <w:spacing w:after="0"/>
              <w:rPr>
                <w:sz w:val="14"/>
                <w:szCs w:val="14"/>
                <w:color w:val="auto"/>
              </w:rPr>
            </w:pPr>
          </w:p>
        </w:tc>
        <w:tc>
          <w:tcPr>
            <w:tcW w:w="7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shd w:val="clear" w:color="auto" w:fill="E7E7E2"/>
          </w:tcPr>
          <w:p>
            <w:pPr>
              <w:spacing w:after="0"/>
              <w:rPr>
                <w:sz w:val="14"/>
                <w:szCs w:val="14"/>
                <w:color w:val="auto"/>
              </w:rPr>
            </w:pPr>
          </w:p>
        </w:tc>
        <w:tc>
          <w:tcPr>
            <w:tcW w:w="20" w:type="dxa"/>
            <w:vAlign w:val="bottom"/>
            <w:shd w:val="clear" w:color="auto" w:fill="E7E7E2"/>
          </w:tcPr>
          <w:p>
            <w:pPr>
              <w:spacing w:after="0"/>
              <w:rPr>
                <w:sz w:val="14"/>
                <w:szCs w:val="14"/>
                <w:color w:val="auto"/>
              </w:rPr>
            </w:pPr>
          </w:p>
        </w:tc>
        <w:tc>
          <w:tcPr>
            <w:tcW w:w="13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shd w:val="clear" w:color="auto" w:fill="E7E7E2"/>
          </w:tcPr>
          <w:p>
            <w:pPr>
              <w:spacing w:after="0"/>
              <w:rPr>
                <w:sz w:val="14"/>
                <w:szCs w:val="14"/>
                <w:color w:val="auto"/>
              </w:rPr>
            </w:pPr>
          </w:p>
        </w:tc>
        <w:tc>
          <w:tcPr>
            <w:tcW w:w="20" w:type="dxa"/>
            <w:vAlign w:val="bottom"/>
            <w:shd w:val="clear" w:color="auto" w:fill="E7E7E2"/>
          </w:tcPr>
          <w:p>
            <w:pPr>
              <w:spacing w:after="0"/>
              <w:rPr>
                <w:sz w:val="14"/>
                <w:szCs w:val="14"/>
                <w:color w:val="auto"/>
              </w:rPr>
            </w:pPr>
          </w:p>
        </w:tc>
        <w:tc>
          <w:tcPr>
            <w:tcW w:w="3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shd w:val="clear" w:color="auto" w:fill="E7E7E2"/>
          </w:tcPr>
          <w:p>
            <w:pPr>
              <w:spacing w:after="0"/>
              <w:rPr>
                <w:sz w:val="14"/>
                <w:szCs w:val="14"/>
                <w:color w:val="auto"/>
              </w:rPr>
            </w:pPr>
          </w:p>
        </w:tc>
        <w:tc>
          <w:tcPr>
            <w:tcW w:w="600" w:type="dxa"/>
            <w:vAlign w:val="bottom"/>
            <w:shd w:val="clear" w:color="auto" w:fill="E7E7E2"/>
          </w:tcPr>
          <w:p>
            <w:pPr>
              <w:spacing w:after="0"/>
              <w:rPr>
                <w:sz w:val="14"/>
                <w:szCs w:val="14"/>
                <w:color w:val="auto"/>
              </w:rPr>
            </w:pPr>
          </w:p>
        </w:tc>
        <w:tc>
          <w:tcPr>
            <w:tcW w:w="20" w:type="dxa"/>
            <w:vAlign w:val="bottom"/>
            <w:shd w:val="clear" w:color="auto" w:fill="E7E7E2"/>
          </w:tcPr>
          <w:p>
            <w:pPr>
              <w:spacing w:after="0"/>
              <w:rPr>
                <w:sz w:val="14"/>
                <w:szCs w:val="14"/>
                <w:color w:val="auto"/>
              </w:rPr>
            </w:pPr>
          </w:p>
        </w:tc>
        <w:tc>
          <w:tcPr>
            <w:tcW w:w="80" w:type="dxa"/>
            <w:vAlign w:val="bottom"/>
            <w:shd w:val="clear" w:color="auto" w:fill="E7E7E2"/>
          </w:tcPr>
          <w:p>
            <w:pPr>
              <w:spacing w:after="0"/>
              <w:rPr>
                <w:sz w:val="14"/>
                <w:szCs w:val="14"/>
                <w:color w:val="auto"/>
              </w:rPr>
            </w:pPr>
          </w:p>
        </w:tc>
        <w:tc>
          <w:tcPr>
            <w:tcW w:w="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shd w:val="clear" w:color="auto" w:fill="E7E7E2"/>
          </w:tcPr>
          <w:p>
            <w:pPr>
              <w:spacing w:after="0"/>
              <w:rPr>
                <w:sz w:val="14"/>
                <w:szCs w:val="14"/>
                <w:color w:val="auto"/>
              </w:rPr>
            </w:pPr>
          </w:p>
        </w:tc>
        <w:tc>
          <w:tcPr>
            <w:tcW w:w="20" w:type="dxa"/>
            <w:vAlign w:val="bottom"/>
            <w:shd w:val="clear" w:color="auto" w:fill="E7E7E2"/>
          </w:tcPr>
          <w:p>
            <w:pPr>
              <w:spacing w:after="0"/>
              <w:rPr>
                <w:sz w:val="14"/>
                <w:szCs w:val="14"/>
                <w:color w:val="auto"/>
              </w:rPr>
            </w:pPr>
          </w:p>
        </w:tc>
        <w:tc>
          <w:tcPr>
            <w:tcW w:w="3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shd w:val="clear" w:color="auto" w:fill="E7E7E2"/>
          </w:tcPr>
          <w:p>
            <w:pPr>
              <w:spacing w:after="0"/>
              <w:rPr>
                <w:sz w:val="14"/>
                <w:szCs w:val="14"/>
                <w:color w:val="auto"/>
              </w:rPr>
            </w:pPr>
          </w:p>
        </w:tc>
        <w:tc>
          <w:tcPr>
            <w:tcW w:w="20" w:type="dxa"/>
            <w:vAlign w:val="bottom"/>
            <w:shd w:val="clear" w:color="auto" w:fill="E7E7E2"/>
          </w:tcPr>
          <w:p>
            <w:pPr>
              <w:spacing w:after="0"/>
              <w:rPr>
                <w:sz w:val="14"/>
                <w:szCs w:val="14"/>
                <w:color w:val="auto"/>
              </w:rPr>
            </w:pPr>
          </w:p>
        </w:tc>
        <w:tc>
          <w:tcPr>
            <w:tcW w:w="2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shd w:val="clear" w:color="auto" w:fill="E7E7E2"/>
          </w:tcPr>
          <w:p>
            <w:pPr>
              <w:spacing w:after="0"/>
              <w:rPr>
                <w:sz w:val="14"/>
                <w:szCs w:val="14"/>
                <w:color w:val="auto"/>
              </w:rPr>
            </w:pPr>
          </w:p>
        </w:tc>
        <w:tc>
          <w:tcPr>
            <w:tcW w:w="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40" w:type="dxa"/>
            <w:vAlign w:val="bottom"/>
            <w:tcBorders>
              <w:left w:val="single" w:sz="8" w:color="auto"/>
            </w:tcBorders>
          </w:tcPr>
          <w:p>
            <w:pPr>
              <w:spacing w:after="0"/>
              <w:rPr>
                <w:sz w:val="18"/>
                <w:szCs w:val="18"/>
                <w:color w:val="auto"/>
              </w:rPr>
            </w:pPr>
          </w:p>
        </w:tc>
        <w:tc>
          <w:tcPr>
            <w:tcW w:w="1000" w:type="dxa"/>
            <w:vAlign w:val="bottom"/>
            <w:gridSpan w:val="3"/>
            <w:shd w:val="clear" w:color="auto" w:fill="E7E7E2"/>
          </w:tcPr>
          <w:p>
            <w:pPr>
              <w:spacing w:after="0"/>
              <w:rPr>
                <w:sz w:val="20"/>
                <w:szCs w:val="20"/>
                <w:color w:val="auto"/>
              </w:rPr>
            </w:pPr>
            <w:r>
              <w:rPr>
                <w:rFonts w:ascii="Arial" w:cs="Arial" w:eastAsia="Arial" w:hAnsi="Arial"/>
                <w:sz w:val="16"/>
                <w:szCs w:val="16"/>
                <w:color w:val="auto"/>
              </w:rPr>
              <w:t>Sources</w:t>
            </w: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13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shd w:val="clear" w:color="auto" w:fill="E7E7E2"/>
          </w:tcPr>
          <w:p>
            <w:pPr>
              <w:spacing w:after="0"/>
              <w:rPr>
                <w:sz w:val="18"/>
                <w:szCs w:val="18"/>
                <w:color w:val="auto"/>
              </w:rPr>
            </w:pPr>
          </w:p>
        </w:tc>
        <w:tc>
          <w:tcPr>
            <w:tcW w:w="60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80" w:type="dxa"/>
            <w:vAlign w:val="bottom"/>
            <w:shd w:val="clear" w:color="auto" w:fill="E7E7E2"/>
          </w:tcPr>
          <w:p>
            <w:pPr>
              <w:spacing w:after="0"/>
              <w:rPr>
                <w:sz w:val="18"/>
                <w:szCs w:val="18"/>
                <w:color w:val="auto"/>
              </w:rPr>
            </w:pPr>
          </w:p>
        </w:tc>
        <w:tc>
          <w:tcPr>
            <w:tcW w:w="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2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shd w:val="clear" w:color="auto" w:fill="E7E7E2"/>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40" w:type="dxa"/>
            <w:vAlign w:val="bottom"/>
            <w:tcBorders>
              <w:left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80" w:type="dxa"/>
            <w:vAlign w:val="bottom"/>
            <w:gridSpan w:val="3"/>
          </w:tcPr>
          <w:p>
            <w:pPr>
              <w:ind w:left="300"/>
              <w:spacing w:after="0"/>
              <w:rPr>
                <w:sz w:val="20"/>
                <w:szCs w:val="20"/>
                <w:color w:val="auto"/>
              </w:rPr>
            </w:pPr>
            <w:r>
              <w:rPr>
                <w:rFonts w:ascii="Arial" w:cs="Arial" w:eastAsia="Arial" w:hAnsi="Arial"/>
                <w:sz w:val="16"/>
                <w:szCs w:val="16"/>
                <w:b w:val="1"/>
                <w:bCs w:val="1"/>
                <w:color w:val="auto"/>
              </w:rPr>
              <w:t>Rule 457(p)</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1"/>
        </w:trPr>
        <w:tc>
          <w:tcPr>
            <w:tcW w:w="40" w:type="dxa"/>
            <w:vAlign w:val="bottom"/>
            <w:tcBorders>
              <w:left w:val="single" w:sz="8" w:color="auto"/>
            </w:tcBorders>
          </w:tcPr>
          <w:p>
            <w:pPr>
              <w:spacing w:after="0"/>
              <w:rPr>
                <w:sz w:val="15"/>
                <w:szCs w:val="15"/>
                <w:color w:val="auto"/>
              </w:rPr>
            </w:pPr>
          </w:p>
        </w:tc>
        <w:tc>
          <w:tcPr>
            <w:tcW w:w="1000" w:type="dxa"/>
            <w:vAlign w:val="bottom"/>
            <w:gridSpan w:val="3"/>
            <w:shd w:val="clear" w:color="auto" w:fill="E7E7E2"/>
          </w:tcPr>
          <w:p>
            <w:pPr>
              <w:spacing w:after="0" w:line="181" w:lineRule="exact"/>
              <w:rPr>
                <w:sz w:val="20"/>
                <w:szCs w:val="20"/>
                <w:color w:val="auto"/>
              </w:rPr>
            </w:pPr>
            <w:r>
              <w:rPr>
                <w:rFonts w:ascii="Arial" w:cs="Arial" w:eastAsia="Arial" w:hAnsi="Arial"/>
                <w:sz w:val="16"/>
                <w:szCs w:val="16"/>
                <w:color w:val="auto"/>
              </w:rPr>
              <w:t>Fee Offset</w:t>
            </w: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3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60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E7E7E2"/>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0" w:type="dxa"/>
            <w:vAlign w:val="bottom"/>
            <w:tcBorders>
              <w:left w:val="single" w:sz="8" w:color="auto"/>
            </w:tcBorders>
          </w:tcPr>
          <w:p>
            <w:pPr>
              <w:spacing w:after="0"/>
              <w:rPr>
                <w:sz w:val="18"/>
                <w:szCs w:val="18"/>
                <w:color w:val="auto"/>
              </w:rPr>
            </w:pPr>
          </w:p>
        </w:tc>
        <w:tc>
          <w:tcPr>
            <w:tcW w:w="1000" w:type="dxa"/>
            <w:vAlign w:val="bottom"/>
            <w:gridSpan w:val="3"/>
            <w:shd w:val="clear" w:color="auto" w:fill="E7E7E2"/>
          </w:tcPr>
          <w:p>
            <w:pPr>
              <w:spacing w:after="0"/>
              <w:rPr>
                <w:sz w:val="20"/>
                <w:szCs w:val="20"/>
                <w:color w:val="auto"/>
              </w:rPr>
            </w:pPr>
            <w:r>
              <w:rPr>
                <w:rFonts w:ascii="Arial" w:cs="Arial" w:eastAsia="Arial" w:hAnsi="Arial"/>
                <w:sz w:val="16"/>
                <w:szCs w:val="16"/>
                <w:color w:val="auto"/>
              </w:rPr>
              <w:t>Claims</w:t>
            </w: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13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shd w:val="clear" w:color="auto" w:fill="E7E7E2"/>
          </w:tcPr>
          <w:p>
            <w:pPr>
              <w:spacing w:after="0"/>
              <w:rPr>
                <w:sz w:val="18"/>
                <w:szCs w:val="18"/>
                <w:color w:val="auto"/>
              </w:rPr>
            </w:pPr>
          </w:p>
        </w:tc>
        <w:tc>
          <w:tcPr>
            <w:tcW w:w="60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80" w:type="dxa"/>
            <w:vAlign w:val="bottom"/>
            <w:shd w:val="clear" w:color="auto" w:fill="E7E7E2"/>
          </w:tcPr>
          <w:p>
            <w:pPr>
              <w:spacing w:after="0"/>
              <w:rPr>
                <w:sz w:val="18"/>
                <w:szCs w:val="18"/>
                <w:color w:val="auto"/>
              </w:rPr>
            </w:pPr>
          </w:p>
        </w:tc>
        <w:tc>
          <w:tcPr>
            <w:tcW w:w="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2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shd w:val="clear" w:color="auto" w:fill="E7E7E2"/>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40" w:type="dxa"/>
            <w:vAlign w:val="bottom"/>
            <w:tcBorders>
              <w:left w:val="single" w:sz="8" w:color="auto"/>
            </w:tcBorders>
          </w:tcPr>
          <w:p>
            <w:pPr>
              <w:spacing w:after="0"/>
              <w:rPr>
                <w:sz w:val="14"/>
                <w:szCs w:val="14"/>
                <w:color w:val="auto"/>
              </w:rPr>
            </w:pPr>
          </w:p>
        </w:tc>
        <w:tc>
          <w:tcPr>
            <w:tcW w:w="1000" w:type="dxa"/>
            <w:vAlign w:val="bottom"/>
            <w:gridSpan w:val="3"/>
            <w:shd w:val="clear" w:color="auto" w:fill="E7E7E2"/>
          </w:tcPr>
          <w:p>
            <w:pPr>
              <w:spacing w:after="0" w:line="171" w:lineRule="exact"/>
              <w:rPr>
                <w:sz w:val="20"/>
                <w:szCs w:val="20"/>
                <w:color w:val="auto"/>
              </w:rPr>
            </w:pPr>
            <w:r>
              <w:rPr>
                <w:rFonts w:ascii="Arial" w:cs="Arial" w:eastAsia="Arial" w:hAnsi="Arial"/>
                <w:sz w:val="16"/>
                <w:szCs w:val="16"/>
                <w:color w:val="auto"/>
              </w:rPr>
              <w:t>Fee Offset</w:t>
            </w:r>
          </w:p>
        </w:tc>
        <w:tc>
          <w:tcPr>
            <w:tcW w:w="20" w:type="dxa"/>
            <w:vAlign w:val="bottom"/>
            <w:vMerge w:val="continue"/>
          </w:tcPr>
          <w:p>
            <w:pPr>
              <w:spacing w:after="0"/>
              <w:rPr>
                <w:sz w:val="14"/>
                <w:szCs w:val="14"/>
                <w:color w:val="auto"/>
              </w:rPr>
            </w:pPr>
          </w:p>
        </w:tc>
        <w:tc>
          <w:tcPr>
            <w:tcW w:w="7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shd w:val="clear" w:color="auto" w:fill="E7E7E2"/>
          </w:tcPr>
          <w:p>
            <w:pPr>
              <w:spacing w:after="0"/>
              <w:rPr>
                <w:sz w:val="14"/>
                <w:szCs w:val="14"/>
                <w:color w:val="auto"/>
              </w:rPr>
            </w:pPr>
          </w:p>
        </w:tc>
        <w:tc>
          <w:tcPr>
            <w:tcW w:w="20" w:type="dxa"/>
            <w:vAlign w:val="bottom"/>
            <w:shd w:val="clear" w:color="auto" w:fill="E7E7E2"/>
          </w:tcPr>
          <w:p>
            <w:pPr>
              <w:spacing w:after="0"/>
              <w:rPr>
                <w:sz w:val="14"/>
                <w:szCs w:val="14"/>
                <w:color w:val="auto"/>
              </w:rPr>
            </w:pPr>
          </w:p>
        </w:tc>
        <w:tc>
          <w:tcPr>
            <w:tcW w:w="13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shd w:val="clear" w:color="auto" w:fill="E7E7E2"/>
          </w:tcPr>
          <w:p>
            <w:pPr>
              <w:spacing w:after="0"/>
              <w:rPr>
                <w:sz w:val="14"/>
                <w:szCs w:val="14"/>
                <w:color w:val="auto"/>
              </w:rPr>
            </w:pPr>
          </w:p>
        </w:tc>
        <w:tc>
          <w:tcPr>
            <w:tcW w:w="20" w:type="dxa"/>
            <w:vAlign w:val="bottom"/>
            <w:shd w:val="clear" w:color="auto" w:fill="E7E7E2"/>
          </w:tcPr>
          <w:p>
            <w:pPr>
              <w:spacing w:after="0"/>
              <w:rPr>
                <w:sz w:val="14"/>
                <w:szCs w:val="14"/>
                <w:color w:val="auto"/>
              </w:rPr>
            </w:pPr>
          </w:p>
        </w:tc>
        <w:tc>
          <w:tcPr>
            <w:tcW w:w="3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shd w:val="clear" w:color="auto" w:fill="E7E7E2"/>
          </w:tcPr>
          <w:p>
            <w:pPr>
              <w:spacing w:after="0"/>
              <w:rPr>
                <w:sz w:val="14"/>
                <w:szCs w:val="14"/>
                <w:color w:val="auto"/>
              </w:rPr>
            </w:pPr>
          </w:p>
        </w:tc>
        <w:tc>
          <w:tcPr>
            <w:tcW w:w="600" w:type="dxa"/>
            <w:vAlign w:val="bottom"/>
            <w:shd w:val="clear" w:color="auto" w:fill="E7E7E2"/>
          </w:tcPr>
          <w:p>
            <w:pPr>
              <w:spacing w:after="0"/>
              <w:rPr>
                <w:sz w:val="14"/>
                <w:szCs w:val="14"/>
                <w:color w:val="auto"/>
              </w:rPr>
            </w:pPr>
          </w:p>
        </w:tc>
        <w:tc>
          <w:tcPr>
            <w:tcW w:w="20" w:type="dxa"/>
            <w:vAlign w:val="bottom"/>
            <w:shd w:val="clear" w:color="auto" w:fill="E7E7E2"/>
          </w:tcPr>
          <w:p>
            <w:pPr>
              <w:spacing w:after="0"/>
              <w:rPr>
                <w:sz w:val="14"/>
                <w:szCs w:val="14"/>
                <w:color w:val="auto"/>
              </w:rPr>
            </w:pPr>
          </w:p>
        </w:tc>
        <w:tc>
          <w:tcPr>
            <w:tcW w:w="80" w:type="dxa"/>
            <w:vAlign w:val="bottom"/>
            <w:shd w:val="clear" w:color="auto" w:fill="E7E7E2"/>
          </w:tcPr>
          <w:p>
            <w:pPr>
              <w:spacing w:after="0"/>
              <w:rPr>
                <w:sz w:val="14"/>
                <w:szCs w:val="14"/>
                <w:color w:val="auto"/>
              </w:rPr>
            </w:pPr>
          </w:p>
        </w:tc>
        <w:tc>
          <w:tcPr>
            <w:tcW w:w="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shd w:val="clear" w:color="auto" w:fill="E7E7E2"/>
          </w:tcPr>
          <w:p>
            <w:pPr>
              <w:spacing w:after="0"/>
              <w:rPr>
                <w:sz w:val="14"/>
                <w:szCs w:val="14"/>
                <w:color w:val="auto"/>
              </w:rPr>
            </w:pPr>
          </w:p>
        </w:tc>
        <w:tc>
          <w:tcPr>
            <w:tcW w:w="20" w:type="dxa"/>
            <w:vAlign w:val="bottom"/>
            <w:shd w:val="clear" w:color="auto" w:fill="E7E7E2"/>
          </w:tcPr>
          <w:p>
            <w:pPr>
              <w:spacing w:after="0"/>
              <w:rPr>
                <w:sz w:val="14"/>
                <w:szCs w:val="14"/>
                <w:color w:val="auto"/>
              </w:rPr>
            </w:pPr>
          </w:p>
        </w:tc>
        <w:tc>
          <w:tcPr>
            <w:tcW w:w="3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shd w:val="clear" w:color="auto" w:fill="E7E7E2"/>
          </w:tcPr>
          <w:p>
            <w:pPr>
              <w:spacing w:after="0"/>
              <w:rPr>
                <w:sz w:val="14"/>
                <w:szCs w:val="14"/>
                <w:color w:val="auto"/>
              </w:rPr>
            </w:pPr>
          </w:p>
        </w:tc>
        <w:tc>
          <w:tcPr>
            <w:tcW w:w="20" w:type="dxa"/>
            <w:vAlign w:val="bottom"/>
            <w:shd w:val="clear" w:color="auto" w:fill="E7E7E2"/>
          </w:tcPr>
          <w:p>
            <w:pPr>
              <w:spacing w:after="0"/>
              <w:rPr>
                <w:sz w:val="14"/>
                <w:szCs w:val="14"/>
                <w:color w:val="auto"/>
              </w:rPr>
            </w:pPr>
          </w:p>
        </w:tc>
        <w:tc>
          <w:tcPr>
            <w:tcW w:w="2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shd w:val="clear" w:color="auto" w:fill="E7E7E2"/>
          </w:tcPr>
          <w:p>
            <w:pPr>
              <w:spacing w:after="0"/>
              <w:rPr>
                <w:sz w:val="14"/>
                <w:szCs w:val="14"/>
                <w:color w:val="auto"/>
              </w:rPr>
            </w:pPr>
          </w:p>
        </w:tc>
        <w:tc>
          <w:tcPr>
            <w:tcW w:w="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40" w:type="dxa"/>
            <w:vAlign w:val="bottom"/>
            <w:tcBorders>
              <w:left w:val="single" w:sz="8" w:color="auto"/>
            </w:tcBorders>
          </w:tcPr>
          <w:p>
            <w:pPr>
              <w:spacing w:after="0"/>
              <w:rPr>
                <w:sz w:val="18"/>
                <w:szCs w:val="18"/>
                <w:color w:val="auto"/>
              </w:rPr>
            </w:pPr>
          </w:p>
        </w:tc>
        <w:tc>
          <w:tcPr>
            <w:tcW w:w="1000" w:type="dxa"/>
            <w:vAlign w:val="bottom"/>
            <w:gridSpan w:val="3"/>
            <w:shd w:val="clear" w:color="auto" w:fill="E7E7E2"/>
          </w:tcPr>
          <w:p>
            <w:pPr>
              <w:spacing w:after="0"/>
              <w:rPr>
                <w:sz w:val="20"/>
                <w:szCs w:val="20"/>
                <w:color w:val="auto"/>
              </w:rPr>
            </w:pPr>
            <w:r>
              <w:rPr>
                <w:rFonts w:ascii="Arial" w:cs="Arial" w:eastAsia="Arial" w:hAnsi="Arial"/>
                <w:sz w:val="16"/>
                <w:szCs w:val="16"/>
                <w:color w:val="auto"/>
              </w:rPr>
              <w:t>Sources</w:t>
            </w: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13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shd w:val="clear" w:color="auto" w:fill="E7E7E2"/>
          </w:tcPr>
          <w:p>
            <w:pPr>
              <w:spacing w:after="0"/>
              <w:rPr>
                <w:sz w:val="18"/>
                <w:szCs w:val="18"/>
                <w:color w:val="auto"/>
              </w:rPr>
            </w:pPr>
          </w:p>
        </w:tc>
        <w:tc>
          <w:tcPr>
            <w:tcW w:w="60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80" w:type="dxa"/>
            <w:vAlign w:val="bottom"/>
            <w:shd w:val="clear" w:color="auto" w:fill="E7E7E2"/>
          </w:tcPr>
          <w:p>
            <w:pPr>
              <w:spacing w:after="0"/>
              <w:rPr>
                <w:sz w:val="18"/>
                <w:szCs w:val="18"/>
                <w:color w:val="auto"/>
              </w:rPr>
            </w:pPr>
          </w:p>
        </w:tc>
        <w:tc>
          <w:tcPr>
            <w:tcW w:w="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2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shd w:val="clear" w:color="auto" w:fill="E7E7E2"/>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440" w:type="dxa"/>
            <w:vAlign w:val="bottom"/>
            <w:tcBorders>
              <w:bottom w:val="single" w:sz="8" w:color="auto"/>
            </w:tcBorders>
            <w:gridSpan w:val="10"/>
          </w:tcPr>
          <w:p>
            <w:pPr>
              <w:ind w:left="40"/>
              <w:spacing w:after="0"/>
              <w:rPr>
                <w:sz w:val="20"/>
                <w:szCs w:val="20"/>
                <w:color w:val="auto"/>
              </w:rPr>
            </w:pPr>
            <w:r>
              <w:rPr>
                <w:rFonts w:ascii="Arial" w:cs="Arial" w:eastAsia="Arial" w:hAnsi="Arial"/>
                <w:sz w:val="16"/>
                <w:szCs w:val="16"/>
                <w:b w:val="1"/>
                <w:bCs w:val="1"/>
                <w:color w:val="auto"/>
              </w:rPr>
              <w:t>Table 3: Combined Prospectuses</w:t>
            </w:r>
          </w:p>
        </w:tc>
        <w:tc>
          <w:tcPr>
            <w:tcW w:w="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6"/>
          </w:tcPr>
          <w:p>
            <w:pPr>
              <w:ind w:left="380"/>
              <w:spacing w:after="0" w:line="184" w:lineRule="exact"/>
              <w:rPr>
                <w:sz w:val="20"/>
                <w:szCs w:val="20"/>
                <w:color w:val="auto"/>
              </w:rPr>
            </w:pPr>
            <w:r>
              <w:rPr>
                <w:rFonts w:ascii="MS PGothic" w:cs="MS PGothic" w:eastAsia="MS PGothic" w:hAnsi="MS PGothic"/>
                <w:sz w:val="16"/>
                <w:szCs w:val="16"/>
                <w:color w:val="auto"/>
                <w:highlight w:val="black"/>
                <w:w w:val="99"/>
              </w:rPr>
              <w:t>☑</w:t>
            </w:r>
            <w:r>
              <w:rPr>
                <w:rFonts w:ascii="Arial" w:cs="Arial" w:eastAsia="Arial" w:hAnsi="Arial"/>
                <w:sz w:val="16"/>
                <w:szCs w:val="16"/>
                <w:b w:val="1"/>
                <w:bCs w:val="1"/>
                <w:color w:val="auto"/>
                <w:w w:val="99"/>
              </w:rPr>
              <w:t>Not Applicable</w:t>
            </w:r>
          </w:p>
        </w:tc>
        <w:tc>
          <w:tcPr>
            <w:tcW w:w="0" w:type="dxa"/>
            <w:vAlign w:val="bottom"/>
          </w:tcPr>
          <w:p>
            <w:pPr>
              <w:spacing w:after="0"/>
              <w:rPr>
                <w:sz w:val="1"/>
                <w:szCs w:val="1"/>
                <w:color w:val="auto"/>
              </w:rPr>
            </w:pPr>
          </w:p>
        </w:tc>
      </w:tr>
      <w:tr>
        <w:trPr>
          <w:trHeight w:val="186"/>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3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6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80" w:type="dxa"/>
            <w:vAlign w:val="bottom"/>
            <w:gridSpan w:val="3"/>
            <w:shd w:val="clear" w:color="auto" w:fill="9ADAF6"/>
          </w:tcPr>
          <w:p>
            <w:pPr>
              <w:ind w:left="380"/>
              <w:spacing w:after="0"/>
              <w:rPr>
                <w:sz w:val="20"/>
                <w:szCs w:val="20"/>
                <w:color w:val="auto"/>
              </w:rPr>
            </w:pPr>
            <w:r>
              <w:rPr>
                <w:rFonts w:ascii="Arial" w:cs="Arial" w:eastAsia="Arial" w:hAnsi="Arial"/>
                <w:sz w:val="16"/>
                <w:szCs w:val="16"/>
                <w:b w:val="1"/>
                <w:bCs w:val="1"/>
                <w:color w:val="auto"/>
              </w:rPr>
              <w:t>Amount of</w:t>
            </w:r>
          </w:p>
        </w:tc>
        <w:tc>
          <w:tcPr>
            <w:tcW w:w="20" w:type="dxa"/>
            <w:vAlign w:val="bottom"/>
            <w:shd w:val="clear" w:color="auto" w:fill="9ADAF6"/>
          </w:tcPr>
          <w:p>
            <w:pPr>
              <w:spacing w:after="0"/>
              <w:rPr>
                <w:sz w:val="16"/>
                <w:szCs w:val="16"/>
                <w:color w:val="auto"/>
              </w:rPr>
            </w:pPr>
          </w:p>
        </w:tc>
        <w:tc>
          <w:tcPr>
            <w:tcW w:w="2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020" w:type="dxa"/>
            <w:vAlign w:val="bottom"/>
            <w:gridSpan w:val="6"/>
            <w:shd w:val="clear" w:color="auto" w:fill="9ADAF6"/>
          </w:tcPr>
          <w:p>
            <w:pPr>
              <w:jc w:val="center"/>
              <w:spacing w:after="0"/>
              <w:rPr>
                <w:sz w:val="20"/>
                <w:szCs w:val="20"/>
                <w:color w:val="auto"/>
              </w:rPr>
            </w:pPr>
            <w:r>
              <w:rPr>
                <w:rFonts w:ascii="Arial" w:cs="Arial" w:eastAsia="Arial" w:hAnsi="Arial"/>
                <w:sz w:val="16"/>
                <w:szCs w:val="16"/>
                <w:b w:val="1"/>
                <w:bCs w:val="1"/>
                <w:color w:val="auto"/>
              </w:rPr>
              <w:t>Maximum Aggregate</w:t>
            </w:r>
          </w:p>
        </w:tc>
        <w:tc>
          <w:tcPr>
            <w:tcW w:w="20" w:type="dxa"/>
            <w:vAlign w:val="bottom"/>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640" w:type="dxa"/>
            <w:vAlign w:val="bottom"/>
            <w:vMerge w:val="restart"/>
            <w:shd w:val="clear" w:color="auto" w:fill="9ADAF6"/>
          </w:tcPr>
          <w:p>
            <w:pPr>
              <w:jc w:val="center"/>
              <w:ind w:right="142"/>
              <w:spacing w:after="0"/>
              <w:rPr>
                <w:sz w:val="20"/>
                <w:szCs w:val="20"/>
                <w:color w:val="auto"/>
              </w:rPr>
            </w:pPr>
            <w:r>
              <w:rPr>
                <w:rFonts w:ascii="Arial" w:cs="Arial" w:eastAsia="Arial" w:hAnsi="Arial"/>
                <w:sz w:val="16"/>
                <w:szCs w:val="16"/>
                <w:b w:val="1"/>
                <w:bCs w:val="1"/>
                <w:color w:val="auto"/>
              </w:rPr>
              <w:t>Initial</w:t>
            </w:r>
          </w:p>
        </w:tc>
        <w:tc>
          <w:tcPr>
            <w:tcW w:w="60" w:type="dxa"/>
            <w:vAlign w:val="bottom"/>
            <w:tcBorders>
              <w:left w:val="single" w:sz="8" w:color="9ADAF6"/>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1"/>
        </w:trPr>
        <w:tc>
          <w:tcPr>
            <w:tcW w:w="40" w:type="dxa"/>
            <w:vAlign w:val="bottom"/>
            <w:tcBorders>
              <w:left w:val="single" w:sz="8" w:color="auto"/>
            </w:tcBorders>
          </w:tcPr>
          <w:p>
            <w:pPr>
              <w:spacing w:after="0"/>
              <w:rPr>
                <w:sz w:val="7"/>
                <w:szCs w:val="7"/>
                <w:color w:val="auto"/>
              </w:rPr>
            </w:pPr>
          </w:p>
        </w:tc>
        <w:tc>
          <w:tcPr>
            <w:tcW w:w="4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2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3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6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80" w:type="dxa"/>
            <w:vAlign w:val="bottom"/>
            <w:gridSpan w:val="3"/>
            <w:vMerge w:val="restart"/>
            <w:shd w:val="clear" w:color="auto" w:fill="9ADAF6"/>
          </w:tcPr>
          <w:p>
            <w:pPr>
              <w:ind w:left="400"/>
              <w:spacing w:after="0" w:line="181" w:lineRule="exact"/>
              <w:rPr>
                <w:sz w:val="20"/>
                <w:szCs w:val="20"/>
                <w:color w:val="auto"/>
              </w:rPr>
            </w:pPr>
            <w:r>
              <w:rPr>
                <w:rFonts w:ascii="Arial" w:cs="Arial" w:eastAsia="Arial" w:hAnsi="Arial"/>
                <w:sz w:val="16"/>
                <w:szCs w:val="16"/>
                <w:b w:val="1"/>
                <w:bCs w:val="1"/>
                <w:color w:val="auto"/>
              </w:rPr>
              <w:t>Securities</w:t>
            </w:r>
          </w:p>
        </w:tc>
        <w:tc>
          <w:tcPr>
            <w:tcW w:w="20" w:type="dxa"/>
            <w:vAlign w:val="bottom"/>
            <w:shd w:val="clear" w:color="auto" w:fill="9ADAF6"/>
          </w:tcPr>
          <w:p>
            <w:pPr>
              <w:spacing w:after="0"/>
              <w:rPr>
                <w:sz w:val="7"/>
                <w:szCs w:val="7"/>
                <w:color w:val="auto"/>
              </w:rPr>
            </w:pPr>
          </w:p>
        </w:tc>
        <w:tc>
          <w:tcPr>
            <w:tcW w:w="26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shd w:val="clear" w:color="auto" w:fill="9ADAF6"/>
          </w:tcPr>
          <w:p>
            <w:pPr>
              <w:spacing w:after="0"/>
              <w:rPr>
                <w:sz w:val="7"/>
                <w:szCs w:val="7"/>
                <w:color w:val="auto"/>
              </w:rPr>
            </w:pPr>
          </w:p>
        </w:tc>
        <w:tc>
          <w:tcPr>
            <w:tcW w:w="1640" w:type="dxa"/>
            <w:vAlign w:val="bottom"/>
            <w:gridSpan w:val="5"/>
            <w:vMerge w:val="restart"/>
            <w:shd w:val="clear" w:color="auto" w:fill="9ADAF6"/>
          </w:tcPr>
          <w:p>
            <w:pPr>
              <w:jc w:val="center"/>
              <w:ind w:right="303"/>
              <w:spacing w:after="0" w:line="181" w:lineRule="exact"/>
              <w:rPr>
                <w:sz w:val="20"/>
                <w:szCs w:val="20"/>
                <w:color w:val="auto"/>
              </w:rPr>
            </w:pPr>
            <w:r>
              <w:rPr>
                <w:rFonts w:ascii="Arial" w:cs="Arial" w:eastAsia="Arial" w:hAnsi="Arial"/>
                <w:sz w:val="16"/>
                <w:szCs w:val="16"/>
                <w:b w:val="1"/>
                <w:bCs w:val="1"/>
                <w:color w:val="auto"/>
              </w:rPr>
              <w:t>Offering Price of</w:t>
            </w:r>
          </w:p>
        </w:tc>
        <w:tc>
          <w:tcPr>
            <w:tcW w:w="20" w:type="dxa"/>
            <w:vAlign w:val="bottom"/>
          </w:tcPr>
          <w:p>
            <w:pPr>
              <w:spacing w:after="0"/>
              <w:rPr>
                <w:sz w:val="7"/>
                <w:szCs w:val="7"/>
                <w:color w:val="auto"/>
              </w:rPr>
            </w:pPr>
          </w:p>
        </w:tc>
        <w:tc>
          <w:tcPr>
            <w:tcW w:w="80" w:type="dxa"/>
            <w:vAlign w:val="bottom"/>
            <w:shd w:val="clear" w:color="auto" w:fill="9ADAF6"/>
          </w:tcPr>
          <w:p>
            <w:pPr>
              <w:spacing w:after="0"/>
              <w:rPr>
                <w:sz w:val="7"/>
                <w:szCs w:val="7"/>
                <w:color w:val="auto"/>
              </w:rPr>
            </w:pPr>
          </w:p>
        </w:tc>
        <w:tc>
          <w:tcPr>
            <w:tcW w:w="600" w:type="dxa"/>
            <w:vAlign w:val="bottom"/>
            <w:gridSpan w:val="3"/>
            <w:vMerge w:val="restart"/>
            <w:shd w:val="clear" w:color="auto" w:fill="9ADAF6"/>
          </w:tcPr>
          <w:p>
            <w:pPr>
              <w:ind w:left="60"/>
              <w:spacing w:after="0" w:line="181" w:lineRule="exact"/>
              <w:rPr>
                <w:sz w:val="20"/>
                <w:szCs w:val="20"/>
                <w:color w:val="auto"/>
              </w:rPr>
            </w:pPr>
            <w:r>
              <w:rPr>
                <w:rFonts w:ascii="Arial" w:cs="Arial" w:eastAsia="Arial" w:hAnsi="Arial"/>
                <w:sz w:val="16"/>
                <w:szCs w:val="16"/>
                <w:b w:val="1"/>
                <w:bCs w:val="1"/>
                <w:color w:val="auto"/>
              </w:rPr>
              <w:t>Form</w:t>
            </w:r>
          </w:p>
        </w:tc>
        <w:tc>
          <w:tcPr>
            <w:tcW w:w="20" w:type="dxa"/>
            <w:vAlign w:val="bottom"/>
          </w:tcPr>
          <w:p>
            <w:pPr>
              <w:spacing w:after="0"/>
              <w:rPr>
                <w:sz w:val="7"/>
                <w:szCs w:val="7"/>
                <w:color w:val="auto"/>
              </w:rPr>
            </w:pPr>
          </w:p>
        </w:tc>
        <w:tc>
          <w:tcPr>
            <w:tcW w:w="3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40" w:type="dxa"/>
            <w:vAlign w:val="bottom"/>
            <w:vMerge w:val="continue"/>
            <w:shd w:val="clear" w:color="auto" w:fill="9ADAF6"/>
          </w:tcPr>
          <w:p>
            <w:pPr>
              <w:spacing w:after="0"/>
              <w:rPr>
                <w:sz w:val="7"/>
                <w:szCs w:val="7"/>
                <w:color w:val="auto"/>
              </w:rPr>
            </w:pPr>
          </w:p>
        </w:tc>
        <w:tc>
          <w:tcPr>
            <w:tcW w:w="60" w:type="dxa"/>
            <w:vAlign w:val="bottom"/>
            <w:tcBorders>
              <w:left w:val="single" w:sz="8" w:color="9ADAF6"/>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40" w:type="dxa"/>
            <w:vAlign w:val="bottom"/>
            <w:tcBorders>
              <w:left w:val="single" w:sz="8" w:color="auto"/>
            </w:tcBorders>
          </w:tcPr>
          <w:p>
            <w:pPr>
              <w:spacing w:after="0"/>
              <w:rPr>
                <w:sz w:val="7"/>
                <w:szCs w:val="7"/>
                <w:color w:val="auto"/>
              </w:rPr>
            </w:pPr>
          </w:p>
        </w:tc>
        <w:tc>
          <w:tcPr>
            <w:tcW w:w="4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300" w:type="dxa"/>
            <w:vAlign w:val="bottom"/>
            <w:gridSpan w:val="3"/>
            <w:vMerge w:val="restart"/>
            <w:shd w:val="clear" w:color="auto" w:fill="9ADAF6"/>
          </w:tcPr>
          <w:p>
            <w:pPr>
              <w:ind w:left="260"/>
              <w:spacing w:after="0" w:line="181" w:lineRule="exact"/>
              <w:rPr>
                <w:sz w:val="20"/>
                <w:szCs w:val="20"/>
                <w:color w:val="auto"/>
              </w:rPr>
            </w:pPr>
            <w:r>
              <w:rPr>
                <w:rFonts w:ascii="Arial" w:cs="Arial" w:eastAsia="Arial" w:hAnsi="Arial"/>
                <w:sz w:val="16"/>
                <w:szCs w:val="16"/>
                <w:b w:val="1"/>
                <w:bCs w:val="1"/>
                <w:color w:val="auto"/>
                <w:w w:val="97"/>
              </w:rPr>
              <w:t>Security Type</w:t>
            </w:r>
          </w:p>
        </w:tc>
        <w:tc>
          <w:tcPr>
            <w:tcW w:w="20" w:type="dxa"/>
            <w:vAlign w:val="bottom"/>
            <w:shd w:val="clear" w:color="auto" w:fill="9ADAF6"/>
          </w:tcPr>
          <w:p>
            <w:pPr>
              <w:spacing w:after="0"/>
              <w:rPr>
                <w:sz w:val="7"/>
                <w:szCs w:val="7"/>
                <w:color w:val="auto"/>
              </w:rPr>
            </w:pPr>
          </w:p>
        </w:tc>
        <w:tc>
          <w:tcPr>
            <w:tcW w:w="2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800" w:type="dxa"/>
            <w:vAlign w:val="bottom"/>
            <w:gridSpan w:val="5"/>
            <w:vMerge w:val="restart"/>
            <w:shd w:val="clear" w:color="auto" w:fill="9ADAF6"/>
          </w:tcPr>
          <w:p>
            <w:pPr>
              <w:ind w:left="660"/>
              <w:spacing w:after="0" w:line="181" w:lineRule="exact"/>
              <w:rPr>
                <w:sz w:val="20"/>
                <w:szCs w:val="20"/>
                <w:color w:val="auto"/>
              </w:rPr>
            </w:pPr>
            <w:r>
              <w:rPr>
                <w:rFonts w:ascii="Arial" w:cs="Arial" w:eastAsia="Arial" w:hAnsi="Arial"/>
                <w:sz w:val="16"/>
                <w:szCs w:val="16"/>
                <w:b w:val="1"/>
                <w:bCs w:val="1"/>
                <w:color w:val="auto"/>
              </w:rPr>
              <w:t>Security Class Title</w:t>
            </w:r>
          </w:p>
        </w:tc>
        <w:tc>
          <w:tcPr>
            <w:tcW w:w="20" w:type="dxa"/>
            <w:vAlign w:val="bottom"/>
          </w:tcPr>
          <w:p>
            <w:pPr>
              <w:spacing w:after="0"/>
              <w:rPr>
                <w:sz w:val="7"/>
                <w:szCs w:val="7"/>
                <w:color w:val="auto"/>
              </w:rPr>
            </w:pPr>
          </w:p>
        </w:tc>
        <w:tc>
          <w:tcPr>
            <w:tcW w:w="1280" w:type="dxa"/>
            <w:vAlign w:val="bottom"/>
            <w:gridSpan w:val="3"/>
            <w:vMerge w:val="continue"/>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26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shd w:val="clear" w:color="auto" w:fill="9ADAF6"/>
          </w:tcPr>
          <w:p>
            <w:pPr>
              <w:spacing w:after="0"/>
              <w:rPr>
                <w:sz w:val="7"/>
                <w:szCs w:val="7"/>
                <w:color w:val="auto"/>
              </w:rPr>
            </w:pPr>
          </w:p>
        </w:tc>
        <w:tc>
          <w:tcPr>
            <w:tcW w:w="1640" w:type="dxa"/>
            <w:vAlign w:val="bottom"/>
            <w:gridSpan w:val="5"/>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shd w:val="clear" w:color="auto" w:fill="9ADAF6"/>
          </w:tcPr>
          <w:p>
            <w:pPr>
              <w:spacing w:after="0"/>
              <w:rPr>
                <w:sz w:val="7"/>
                <w:szCs w:val="7"/>
                <w:color w:val="auto"/>
              </w:rPr>
            </w:pPr>
          </w:p>
        </w:tc>
        <w:tc>
          <w:tcPr>
            <w:tcW w:w="600" w:type="dxa"/>
            <w:vAlign w:val="bottom"/>
            <w:gridSpan w:val="3"/>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120" w:type="dxa"/>
            <w:vAlign w:val="bottom"/>
            <w:gridSpan w:val="3"/>
            <w:vMerge w:val="restart"/>
            <w:shd w:val="clear" w:color="auto" w:fill="9ADAF6"/>
          </w:tcPr>
          <w:p>
            <w:pPr>
              <w:ind w:left="80"/>
              <w:spacing w:after="0" w:line="181" w:lineRule="exact"/>
              <w:rPr>
                <w:sz w:val="20"/>
                <w:szCs w:val="20"/>
                <w:color w:val="auto"/>
              </w:rPr>
            </w:pPr>
            <w:r>
              <w:rPr>
                <w:rFonts w:ascii="Arial" w:cs="Arial" w:eastAsia="Arial" w:hAnsi="Arial"/>
                <w:sz w:val="16"/>
                <w:szCs w:val="16"/>
                <w:b w:val="1"/>
                <w:bCs w:val="1"/>
                <w:color w:val="auto"/>
              </w:rPr>
              <w:t>File Number</w:t>
            </w:r>
          </w:p>
        </w:tc>
        <w:tc>
          <w:tcPr>
            <w:tcW w:w="20" w:type="dxa"/>
            <w:vAlign w:val="bottom"/>
          </w:tcPr>
          <w:p>
            <w:pPr>
              <w:spacing w:after="0"/>
              <w:rPr>
                <w:sz w:val="7"/>
                <w:szCs w:val="7"/>
                <w:color w:val="auto"/>
              </w:rPr>
            </w:pPr>
          </w:p>
        </w:tc>
        <w:tc>
          <w:tcPr>
            <w:tcW w:w="880" w:type="dxa"/>
            <w:vAlign w:val="bottom"/>
            <w:gridSpan w:val="3"/>
            <w:vMerge w:val="restart"/>
            <w:shd w:val="clear" w:color="auto" w:fill="9ADAF6"/>
          </w:tcPr>
          <w:p>
            <w:pPr>
              <w:jc w:val="center"/>
              <w:spacing w:after="0" w:line="181" w:lineRule="exact"/>
              <w:rPr>
                <w:sz w:val="20"/>
                <w:szCs w:val="20"/>
                <w:color w:val="auto"/>
              </w:rPr>
            </w:pPr>
            <w:r>
              <w:rPr>
                <w:rFonts w:ascii="Arial" w:cs="Arial" w:eastAsia="Arial" w:hAnsi="Arial"/>
                <w:sz w:val="16"/>
                <w:szCs w:val="16"/>
                <w:b w:val="1"/>
                <w:bCs w:val="1"/>
                <w:color w:val="auto"/>
              </w:rPr>
              <w:t>Effective</w:t>
            </w:r>
          </w:p>
        </w:tc>
        <w:tc>
          <w:tcPr>
            <w:tcW w:w="60" w:type="dxa"/>
            <w:vAlign w:val="bottom"/>
            <w:tcBorders>
              <w:left w:val="single" w:sz="8" w:color="9ADAF6"/>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40" w:type="dxa"/>
            <w:vAlign w:val="bottom"/>
            <w:tcBorders>
              <w:left w:val="single" w:sz="8" w:color="auto"/>
            </w:tcBorders>
          </w:tcPr>
          <w:p>
            <w:pPr>
              <w:spacing w:after="0"/>
              <w:rPr>
                <w:sz w:val="7"/>
                <w:szCs w:val="7"/>
                <w:color w:val="auto"/>
              </w:rPr>
            </w:pPr>
          </w:p>
        </w:tc>
        <w:tc>
          <w:tcPr>
            <w:tcW w:w="4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300" w:type="dxa"/>
            <w:vAlign w:val="bottom"/>
            <w:gridSpan w:val="3"/>
            <w:vMerge w:val="continue"/>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2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800" w:type="dxa"/>
            <w:vAlign w:val="bottom"/>
            <w:gridSpan w:val="5"/>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80" w:type="dxa"/>
            <w:vAlign w:val="bottom"/>
            <w:gridSpan w:val="3"/>
            <w:vMerge w:val="restart"/>
            <w:shd w:val="clear" w:color="auto" w:fill="9ADAF6"/>
          </w:tcPr>
          <w:p>
            <w:pPr>
              <w:ind w:left="380"/>
              <w:spacing w:after="0" w:line="181" w:lineRule="exact"/>
              <w:rPr>
                <w:sz w:val="20"/>
                <w:szCs w:val="20"/>
                <w:color w:val="auto"/>
              </w:rPr>
            </w:pPr>
            <w:r>
              <w:rPr>
                <w:rFonts w:ascii="Arial" w:cs="Arial" w:eastAsia="Arial" w:hAnsi="Arial"/>
                <w:sz w:val="16"/>
                <w:szCs w:val="16"/>
                <w:b w:val="1"/>
                <w:bCs w:val="1"/>
                <w:color w:val="auto"/>
              </w:rPr>
              <w:t>Previously</w:t>
            </w:r>
          </w:p>
        </w:tc>
        <w:tc>
          <w:tcPr>
            <w:tcW w:w="20" w:type="dxa"/>
            <w:vAlign w:val="bottom"/>
            <w:shd w:val="clear" w:color="auto" w:fill="9ADAF6"/>
          </w:tcPr>
          <w:p>
            <w:pPr>
              <w:spacing w:after="0"/>
              <w:rPr>
                <w:sz w:val="7"/>
                <w:szCs w:val="7"/>
                <w:color w:val="auto"/>
              </w:rPr>
            </w:pPr>
          </w:p>
        </w:tc>
        <w:tc>
          <w:tcPr>
            <w:tcW w:w="26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020" w:type="dxa"/>
            <w:vAlign w:val="bottom"/>
            <w:gridSpan w:val="6"/>
            <w:vMerge w:val="restart"/>
            <w:shd w:val="clear" w:color="auto" w:fill="9ADAF6"/>
          </w:tcPr>
          <w:p>
            <w:pPr>
              <w:jc w:val="center"/>
              <w:spacing w:after="0" w:line="181" w:lineRule="exact"/>
              <w:rPr>
                <w:sz w:val="20"/>
                <w:szCs w:val="20"/>
                <w:color w:val="auto"/>
              </w:rPr>
            </w:pPr>
            <w:r>
              <w:rPr>
                <w:rFonts w:ascii="Arial" w:cs="Arial" w:eastAsia="Arial" w:hAnsi="Arial"/>
                <w:sz w:val="16"/>
                <w:szCs w:val="16"/>
                <w:b w:val="1"/>
                <w:bCs w:val="1"/>
                <w:color w:val="auto"/>
              </w:rPr>
              <w:t>Securities Previously</w:t>
            </w:r>
          </w:p>
        </w:tc>
        <w:tc>
          <w:tcPr>
            <w:tcW w:w="20" w:type="dxa"/>
            <w:vAlign w:val="bottom"/>
          </w:tcPr>
          <w:p>
            <w:pPr>
              <w:spacing w:after="0"/>
              <w:rPr>
                <w:sz w:val="7"/>
                <w:szCs w:val="7"/>
                <w:color w:val="auto"/>
              </w:rPr>
            </w:pPr>
          </w:p>
        </w:tc>
        <w:tc>
          <w:tcPr>
            <w:tcW w:w="80" w:type="dxa"/>
            <w:vAlign w:val="bottom"/>
            <w:shd w:val="clear" w:color="auto" w:fill="9ADAF6"/>
          </w:tcPr>
          <w:p>
            <w:pPr>
              <w:spacing w:after="0"/>
              <w:rPr>
                <w:sz w:val="7"/>
                <w:szCs w:val="7"/>
                <w:color w:val="auto"/>
              </w:rPr>
            </w:pPr>
          </w:p>
        </w:tc>
        <w:tc>
          <w:tcPr>
            <w:tcW w:w="600" w:type="dxa"/>
            <w:vAlign w:val="bottom"/>
            <w:gridSpan w:val="3"/>
            <w:vMerge w:val="restart"/>
            <w:shd w:val="clear" w:color="auto" w:fill="9ADAF6"/>
          </w:tcPr>
          <w:p>
            <w:pPr>
              <w:ind w:left="80"/>
              <w:spacing w:after="0" w:line="181" w:lineRule="exact"/>
              <w:rPr>
                <w:sz w:val="20"/>
                <w:szCs w:val="20"/>
                <w:color w:val="auto"/>
              </w:rPr>
            </w:pPr>
            <w:r>
              <w:rPr>
                <w:rFonts w:ascii="Arial" w:cs="Arial" w:eastAsia="Arial" w:hAnsi="Arial"/>
                <w:sz w:val="16"/>
                <w:szCs w:val="16"/>
                <w:b w:val="1"/>
                <w:bCs w:val="1"/>
                <w:color w:val="auto"/>
              </w:rPr>
              <w:t>Type</w:t>
            </w:r>
          </w:p>
        </w:tc>
        <w:tc>
          <w:tcPr>
            <w:tcW w:w="20" w:type="dxa"/>
            <w:vAlign w:val="bottom"/>
          </w:tcPr>
          <w:p>
            <w:pPr>
              <w:spacing w:after="0"/>
              <w:rPr>
                <w:sz w:val="7"/>
                <w:szCs w:val="7"/>
                <w:color w:val="auto"/>
              </w:rPr>
            </w:pPr>
          </w:p>
        </w:tc>
        <w:tc>
          <w:tcPr>
            <w:tcW w:w="1120" w:type="dxa"/>
            <w:vAlign w:val="bottom"/>
            <w:gridSpan w:val="3"/>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gridSpan w:val="3"/>
            <w:vMerge w:val="continue"/>
            <w:shd w:val="clear" w:color="auto" w:fill="9ADAF6"/>
          </w:tcPr>
          <w:p>
            <w:pPr>
              <w:spacing w:after="0"/>
              <w:rPr>
                <w:sz w:val="7"/>
                <w:szCs w:val="7"/>
                <w:color w:val="auto"/>
              </w:rPr>
            </w:pPr>
          </w:p>
        </w:tc>
        <w:tc>
          <w:tcPr>
            <w:tcW w:w="60" w:type="dxa"/>
            <w:vAlign w:val="bottom"/>
            <w:tcBorders>
              <w:left w:val="single" w:sz="8" w:color="9ADAF6"/>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40" w:type="dxa"/>
            <w:vAlign w:val="bottom"/>
            <w:tcBorders>
              <w:left w:val="single" w:sz="8" w:color="auto"/>
            </w:tcBorders>
          </w:tcPr>
          <w:p>
            <w:pPr>
              <w:spacing w:after="0"/>
              <w:rPr>
                <w:sz w:val="7"/>
                <w:szCs w:val="7"/>
                <w:color w:val="auto"/>
              </w:rPr>
            </w:pPr>
          </w:p>
        </w:tc>
        <w:tc>
          <w:tcPr>
            <w:tcW w:w="4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2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3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6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80" w:type="dxa"/>
            <w:vAlign w:val="bottom"/>
            <w:gridSpan w:val="3"/>
            <w:vMerge w:val="continue"/>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26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020" w:type="dxa"/>
            <w:vAlign w:val="bottom"/>
            <w:gridSpan w:val="6"/>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shd w:val="clear" w:color="auto" w:fill="9ADAF6"/>
          </w:tcPr>
          <w:p>
            <w:pPr>
              <w:spacing w:after="0"/>
              <w:rPr>
                <w:sz w:val="7"/>
                <w:szCs w:val="7"/>
                <w:color w:val="auto"/>
              </w:rPr>
            </w:pPr>
          </w:p>
        </w:tc>
        <w:tc>
          <w:tcPr>
            <w:tcW w:w="600" w:type="dxa"/>
            <w:vAlign w:val="bottom"/>
            <w:gridSpan w:val="3"/>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3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40" w:type="dxa"/>
            <w:vAlign w:val="bottom"/>
            <w:vMerge w:val="restart"/>
            <w:shd w:val="clear" w:color="auto" w:fill="9ADAF6"/>
          </w:tcPr>
          <w:p>
            <w:pPr>
              <w:jc w:val="center"/>
              <w:ind w:right="162"/>
              <w:spacing w:after="0"/>
              <w:rPr>
                <w:sz w:val="20"/>
                <w:szCs w:val="20"/>
                <w:color w:val="auto"/>
              </w:rPr>
            </w:pPr>
            <w:r>
              <w:rPr>
                <w:rFonts w:ascii="Arial" w:cs="Arial" w:eastAsia="Arial" w:hAnsi="Arial"/>
                <w:sz w:val="16"/>
                <w:szCs w:val="16"/>
                <w:b w:val="1"/>
                <w:bCs w:val="1"/>
                <w:color w:val="auto"/>
              </w:rPr>
              <w:t>Date</w:t>
            </w:r>
          </w:p>
        </w:tc>
        <w:tc>
          <w:tcPr>
            <w:tcW w:w="60" w:type="dxa"/>
            <w:vAlign w:val="bottom"/>
            <w:tcBorders>
              <w:left w:val="single" w:sz="8" w:color="9ADAF6"/>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1"/>
        </w:trPr>
        <w:tc>
          <w:tcPr>
            <w:tcW w:w="40" w:type="dxa"/>
            <w:vAlign w:val="bottom"/>
            <w:tcBorders>
              <w:left w:val="single" w:sz="8" w:color="auto"/>
            </w:tcBorders>
          </w:tcPr>
          <w:p>
            <w:pPr>
              <w:spacing w:after="0"/>
              <w:rPr>
                <w:sz w:val="11"/>
                <w:szCs w:val="11"/>
                <w:color w:val="auto"/>
              </w:rPr>
            </w:pPr>
          </w:p>
        </w:tc>
        <w:tc>
          <w:tcPr>
            <w:tcW w:w="4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4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2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36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64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6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280" w:type="dxa"/>
            <w:vAlign w:val="bottom"/>
            <w:gridSpan w:val="3"/>
            <w:vMerge w:val="restart"/>
            <w:shd w:val="clear" w:color="auto" w:fill="9ADAF6"/>
          </w:tcPr>
          <w:p>
            <w:pPr>
              <w:ind w:left="360"/>
              <w:spacing w:after="0"/>
              <w:rPr>
                <w:sz w:val="20"/>
                <w:szCs w:val="20"/>
                <w:color w:val="auto"/>
              </w:rPr>
            </w:pPr>
            <w:r>
              <w:rPr>
                <w:rFonts w:ascii="Arial" w:cs="Arial" w:eastAsia="Arial" w:hAnsi="Arial"/>
                <w:sz w:val="16"/>
                <w:szCs w:val="16"/>
                <w:b w:val="1"/>
                <w:bCs w:val="1"/>
                <w:color w:val="auto"/>
              </w:rPr>
              <w:t>Registered</w:t>
            </w:r>
          </w:p>
        </w:tc>
        <w:tc>
          <w:tcPr>
            <w:tcW w:w="20" w:type="dxa"/>
            <w:vAlign w:val="bottom"/>
            <w:shd w:val="clear" w:color="auto" w:fill="9ADAF6"/>
          </w:tcPr>
          <w:p>
            <w:pPr>
              <w:spacing w:after="0"/>
              <w:rPr>
                <w:sz w:val="11"/>
                <w:szCs w:val="11"/>
                <w:color w:val="auto"/>
              </w:rPr>
            </w:pPr>
          </w:p>
        </w:tc>
        <w:tc>
          <w:tcPr>
            <w:tcW w:w="26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1020" w:type="dxa"/>
            <w:vAlign w:val="bottom"/>
            <w:gridSpan w:val="3"/>
            <w:vMerge w:val="restart"/>
            <w:shd w:val="clear" w:color="auto" w:fill="9ADAF6"/>
          </w:tcPr>
          <w:p>
            <w:pPr>
              <w:jc w:val="center"/>
              <w:ind w:left="122"/>
              <w:spacing w:after="0"/>
              <w:rPr>
                <w:sz w:val="20"/>
                <w:szCs w:val="20"/>
                <w:color w:val="auto"/>
              </w:rPr>
            </w:pPr>
            <w:r>
              <w:rPr>
                <w:rFonts w:ascii="Arial" w:cs="Arial" w:eastAsia="Arial" w:hAnsi="Arial"/>
                <w:sz w:val="16"/>
                <w:szCs w:val="16"/>
                <w:b w:val="1"/>
                <w:bCs w:val="1"/>
                <w:color w:val="auto"/>
                <w:w w:val="99"/>
              </w:rPr>
              <w:t>Registered</w:t>
            </w:r>
          </w:p>
        </w:tc>
        <w:tc>
          <w:tcPr>
            <w:tcW w:w="6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shd w:val="clear" w:color="auto" w:fill="9ADAF6"/>
          </w:tcPr>
          <w:p>
            <w:pPr>
              <w:spacing w:after="0"/>
              <w:rPr>
                <w:sz w:val="11"/>
                <w:szCs w:val="11"/>
                <w:color w:val="auto"/>
              </w:rPr>
            </w:pPr>
          </w:p>
        </w:tc>
        <w:tc>
          <w:tcPr>
            <w:tcW w:w="8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5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640" w:type="dxa"/>
            <w:vAlign w:val="bottom"/>
            <w:vMerge w:val="continue"/>
            <w:shd w:val="clear" w:color="auto" w:fill="9ADAF6"/>
          </w:tcPr>
          <w:p>
            <w:pPr>
              <w:spacing w:after="0"/>
              <w:rPr>
                <w:sz w:val="11"/>
                <w:szCs w:val="11"/>
                <w:color w:val="auto"/>
              </w:rPr>
            </w:pPr>
          </w:p>
        </w:tc>
        <w:tc>
          <w:tcPr>
            <w:tcW w:w="60" w:type="dxa"/>
            <w:vAlign w:val="bottom"/>
            <w:tcBorders>
              <w:left w:val="single" w:sz="8" w:color="9ADAF6"/>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40" w:type="dxa"/>
            <w:vAlign w:val="bottom"/>
            <w:tcBorders>
              <w:left w:val="single" w:sz="8" w:color="auto"/>
            </w:tcBorders>
          </w:tcPr>
          <w:p>
            <w:pPr>
              <w:spacing w:after="0"/>
              <w:rPr>
                <w:sz w:val="7"/>
                <w:szCs w:val="7"/>
                <w:color w:val="auto"/>
              </w:rPr>
            </w:pPr>
          </w:p>
        </w:tc>
        <w:tc>
          <w:tcPr>
            <w:tcW w:w="4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2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3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6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80" w:type="dxa"/>
            <w:vAlign w:val="bottom"/>
            <w:gridSpan w:val="3"/>
            <w:vMerge w:val="continue"/>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26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1020" w:type="dxa"/>
            <w:vAlign w:val="bottom"/>
            <w:gridSpan w:val="3"/>
            <w:vMerge w:val="continue"/>
            <w:shd w:val="clear" w:color="auto" w:fill="9ADAF6"/>
          </w:tcPr>
          <w:p>
            <w:pPr>
              <w:spacing w:after="0"/>
              <w:rPr>
                <w:sz w:val="7"/>
                <w:szCs w:val="7"/>
                <w:color w:val="auto"/>
              </w:rPr>
            </w:pPr>
          </w:p>
        </w:tc>
        <w:tc>
          <w:tcPr>
            <w:tcW w:w="60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shd w:val="clear" w:color="auto" w:fill="9ADAF6"/>
          </w:tcPr>
          <w:p>
            <w:pPr>
              <w:spacing w:after="0"/>
              <w:rPr>
                <w:sz w:val="7"/>
                <w:szCs w:val="7"/>
                <w:color w:val="auto"/>
              </w:rPr>
            </w:pPr>
          </w:p>
        </w:tc>
        <w:tc>
          <w:tcPr>
            <w:tcW w:w="8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50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3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40" w:type="dxa"/>
            <w:vAlign w:val="bottom"/>
            <w:shd w:val="clear" w:color="auto" w:fill="9ADAF6"/>
          </w:tcPr>
          <w:p>
            <w:pPr>
              <w:spacing w:after="0"/>
              <w:rPr>
                <w:sz w:val="7"/>
                <w:szCs w:val="7"/>
                <w:color w:val="auto"/>
              </w:rPr>
            </w:pPr>
          </w:p>
        </w:tc>
        <w:tc>
          <w:tcPr>
            <w:tcW w:w="60" w:type="dxa"/>
            <w:vAlign w:val="bottom"/>
            <w:tcBorders>
              <w:left w:val="single" w:sz="8" w:color="9ADAF6"/>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4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2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6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26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90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100" w:type="dxa"/>
            <w:vAlign w:val="bottom"/>
            <w:tcBorders>
              <w:bottom w:val="single" w:sz="8" w:color="E7E7E2"/>
            </w:tcBorders>
          </w:tcPr>
          <w:p>
            <w:pPr>
              <w:spacing w:after="0" w:line="20" w:lineRule="exact"/>
              <w:rPr>
                <w:sz w:val="1"/>
                <w:szCs w:val="1"/>
                <w:color w:val="auto"/>
              </w:rPr>
            </w:pPr>
          </w:p>
        </w:tc>
        <w:tc>
          <w:tcPr>
            <w:tcW w:w="60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E7E7E2"/>
            </w:tcBorders>
          </w:tcPr>
          <w:p>
            <w:pPr>
              <w:spacing w:after="0" w:line="20" w:lineRule="exact"/>
              <w:rPr>
                <w:sz w:val="1"/>
                <w:szCs w:val="1"/>
                <w:color w:val="auto"/>
              </w:rPr>
            </w:pPr>
          </w:p>
        </w:tc>
        <w:tc>
          <w:tcPr>
            <w:tcW w:w="8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50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40" w:type="dxa"/>
            <w:vAlign w:val="bottom"/>
            <w:tcBorders>
              <w:bottom w:val="single" w:sz="8" w:color="E7E7E2"/>
            </w:tcBorders>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300"/>
      </w:cols>
      <w:pgMar w:left="300" w:top="260"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2E685FB"/>
    <w:multiLevelType w:val="hybridMultilevel"/>
    <w:lvl w:ilvl="0">
      <w:lvlJc w:val="left"/>
      <w:lvlText w:val="•"/>
      <w:numFmt w:val="bullet"/>
      <w:start w:val="1"/>
    </w:lvl>
  </w:abstractNum>
  <w:abstractNum w:abstractNumId="1">
    <w:nsid w:val="70C6A529"/>
    <w:multiLevelType w:val="hybridMultilevel"/>
    <w:lvl w:ilvl="0">
      <w:lvlJc w:val="left"/>
      <w:lvlText w:val="•"/>
      <w:numFmt w:val="bullet"/>
      <w:start w:val="1"/>
    </w:lvl>
  </w:abstractNum>
  <w:abstractNum w:abstractNumId="2">
    <w:nsid w:val="520EEDD1"/>
    <w:multiLevelType w:val="hybridMultilevel"/>
    <w:lvl w:ilvl="0">
      <w:lvlJc w:val="left"/>
      <w:lvlText w:val="•"/>
      <w:numFmt w:val="bullet"/>
      <w:start w:val="1"/>
    </w:lvl>
  </w:abstractNum>
  <w:abstractNum w:abstractNumId="3">
    <w:nsid w:val="374A3FE6"/>
    <w:multiLevelType w:val="hybridMultilevel"/>
    <w:lvl w:ilvl="0">
      <w:lvlJc w:val="left"/>
      <w:lvlText w:val="•"/>
      <w:numFmt w:val="bullet"/>
      <w:start w:val="1"/>
    </w:lvl>
  </w:abstractNum>
  <w:abstractNum w:abstractNumId="4">
    <w:nsid w:val="4F4EF005"/>
    <w:multiLevelType w:val="hybridMultilevel"/>
    <w:lvl w:ilvl="0">
      <w:lvlJc w:val="left"/>
      <w:lvlText w:val="•"/>
      <w:numFmt w:val="bullet"/>
      <w:start w:val="1"/>
    </w:lvl>
  </w:abstractNum>
  <w:abstractNum w:abstractNumId="5">
    <w:nsid w:val="23F9C13C"/>
    <w:multiLevelType w:val="hybridMultilevel"/>
    <w:lvl w:ilvl="0">
      <w:lvlJc w:val="left"/>
      <w:lvlText w:val="•"/>
      <w:numFmt w:val="bullet"/>
      <w:start w:val="1"/>
    </w:lvl>
  </w:abstractNum>
  <w:abstractNum w:abstractNumId="6">
    <w:nsid w:val="649BB77C"/>
    <w:multiLevelType w:val="hybridMultilevel"/>
    <w:lvl w:ilvl="0">
      <w:lvlJc w:val="left"/>
      <w:lvlText w:val="•"/>
      <w:numFmt w:val="bullet"/>
      <w:start w:val="1"/>
    </w:lvl>
  </w:abstractNum>
  <w:abstractNum w:abstractNumId="7">
    <w:nsid w:val="275AC794"/>
    <w:multiLevelType w:val="hybridMultilevel"/>
    <w:lvl w:ilvl="0">
      <w:lvlJc w:val="left"/>
      <w:lvlText w:val="•"/>
      <w:numFmt w:val="bullet"/>
      <w:start w:val="1"/>
    </w:lvl>
  </w:abstractNum>
  <w:abstractNum w:abstractNumId="8">
    <w:nsid w:val="39386575"/>
    <w:multiLevelType w:val="hybridMultilevel"/>
    <w:lvl w:ilvl="0">
      <w:lvlJc w:val="left"/>
      <w:lvlText w:val="•"/>
      <w:numFmt w:val="bullet"/>
      <w:start w:val="1"/>
    </w:lvl>
  </w:abstractNum>
  <w:abstractNum w:abstractNumId="9">
    <w:nsid w:val="1CF10FD8"/>
    <w:multiLevelType w:val="hybridMultilevel"/>
    <w:lvl w:ilvl="0">
      <w:lvlJc w:val="left"/>
      <w:lvlText w:val="•"/>
      <w:numFmt w:val="bullet"/>
      <w:start w:val="1"/>
    </w:lvl>
  </w:abstractNum>
  <w:abstractNum w:abstractNumId="10">
    <w:nsid w:val="180115BE"/>
    <w:multiLevelType w:val="hybridMultilevel"/>
    <w:lvl w:ilvl="0">
      <w:lvlJc w:val="left"/>
      <w:lvlText w:val="•"/>
      <w:numFmt w:val="bullet"/>
      <w:start w:val="1"/>
    </w:lvl>
  </w:abstractNum>
  <w:abstractNum w:abstractNumId="11">
    <w:nsid w:val="235BA861"/>
    <w:multiLevelType w:val="hybridMultilevel"/>
    <w:lvl w:ilvl="0">
      <w:lvlJc w:val="left"/>
      <w:lvlText w:val="(%1)"/>
      <w:numFmt w:val="lowerRoman"/>
      <w:start w:val="4"/>
    </w:lvl>
  </w:abstractNum>
  <w:abstractNum w:abstractNumId="12">
    <w:nsid w:val="47398C89"/>
    <w:multiLevelType w:val="hybridMultilevel"/>
    <w:lvl w:ilvl="0">
      <w:lvlJc w:val="left"/>
      <w:lvlText w:val="•"/>
      <w:numFmt w:val="bullet"/>
      <w:start w:val="1"/>
    </w:lvl>
  </w:abstractNum>
  <w:abstractNum w:abstractNumId="13">
    <w:nsid w:val="354FE9F9"/>
    <w:multiLevelType w:val="hybridMultilevel"/>
    <w:lvl w:ilvl="0">
      <w:lvlJc w:val="left"/>
      <w:lvlText w:val="•"/>
      <w:numFmt w:val="bullet"/>
      <w:start w:val="1"/>
    </w:lvl>
  </w:abstractNum>
  <w:abstractNum w:abstractNumId="14">
    <w:nsid w:val="15B5AF5C"/>
    <w:multiLevelType w:val="hybridMultilevel"/>
    <w:lvl w:ilvl="0">
      <w:lvlJc w:val="left"/>
      <w:lvlText w:val="•"/>
      <w:numFmt w:val="bullet"/>
      <w:start w:val="1"/>
    </w:lvl>
  </w:abstractNum>
  <w:abstractNum w:abstractNumId="15">
    <w:nsid w:val="741226BB"/>
    <w:multiLevelType w:val="hybridMultilevel"/>
    <w:lvl w:ilvl="0">
      <w:lvlJc w:val="left"/>
      <w:lvlText w:val="•"/>
      <w:numFmt w:val="bullet"/>
      <w:start w:val="1"/>
    </w:lvl>
  </w:abstractNum>
  <w:abstractNum w:abstractNumId="16">
    <w:nsid w:val="D34B6A8"/>
    <w:multiLevelType w:val="hybridMultilevel"/>
    <w:lvl w:ilvl="0">
      <w:lvlJc w:val="left"/>
      <w:lvlText w:val="•"/>
      <w:numFmt w:val="bullet"/>
      <w:start w:val="1"/>
    </w:lvl>
  </w:abstractNum>
  <w:abstractNum w:abstractNumId="17">
    <w:nsid w:val="10233C99"/>
    <w:multiLevelType w:val="hybridMultilevel"/>
    <w:lvl w:ilvl="0">
      <w:lvlJc w:val="left"/>
      <w:lvlText w:val="•"/>
      <w:numFmt w:val="bullet"/>
      <w:start w:val="1"/>
    </w:lvl>
  </w:abstractNum>
  <w:abstractNum w:abstractNumId="18">
    <w:nsid w:val="3F6AB60F"/>
    <w:multiLevelType w:val="hybridMultilevel"/>
    <w:lvl w:ilvl="0">
      <w:lvlJc w:val="left"/>
      <w:lvlText w:val="•"/>
      <w:numFmt w:val="bullet"/>
      <w:start w:val="1"/>
    </w:lvl>
  </w:abstractNum>
  <w:abstractNum w:abstractNumId="19">
    <w:nsid w:val="61574095"/>
    <w:multiLevelType w:val="hybridMultilevel"/>
    <w:lvl w:ilvl="0">
      <w:lvlJc w:val="left"/>
      <w:lvlText w:val="•"/>
      <w:numFmt w:val="bullet"/>
      <w:start w:val="1"/>
    </w:lvl>
  </w:abstractNum>
  <w:abstractNum w:abstractNumId="20">
    <w:nsid w:val="7E0C57B1"/>
    <w:multiLevelType w:val="hybridMultilevel"/>
    <w:lvl w:ilvl="0">
      <w:lvlJc w:val="left"/>
      <w:lvlText w:val="•"/>
      <w:numFmt w:val="bullet"/>
      <w:start w:val="1"/>
    </w:lvl>
  </w:abstractNum>
  <w:abstractNum w:abstractNumId="21">
    <w:nsid w:val="77AE35EB"/>
    <w:multiLevelType w:val="hybridMultilevel"/>
    <w:lvl w:ilvl="0">
      <w:lvlJc w:val="left"/>
      <w:lvlText w:val="•"/>
      <w:numFmt w:val="bullet"/>
      <w:start w:val="1"/>
    </w:lvl>
  </w:abstractNum>
  <w:abstractNum w:abstractNumId="22">
    <w:nsid w:val="579BE4F1"/>
    <w:multiLevelType w:val="hybridMultilevel"/>
    <w:lvl w:ilvl="0">
      <w:lvlJc w:val="left"/>
      <w:lvlText w:val="•"/>
      <w:numFmt w:val="bullet"/>
      <w:start w:val="1"/>
    </w:lvl>
  </w:abstractNum>
  <w:abstractNum w:abstractNumId="23">
    <w:nsid w:val="310C50B3"/>
    <w:multiLevelType w:val="hybridMultilevel"/>
    <w:lvl w:ilvl="0">
      <w:lvlJc w:val="left"/>
      <w:lvlText w:val="•"/>
      <w:numFmt w:val="bullet"/>
      <w:start w:val="1"/>
    </w:lvl>
  </w:abstractNum>
  <w:abstractNum w:abstractNumId="24">
    <w:nsid w:val="5FF87E05"/>
    <w:multiLevelType w:val="hybridMultilevel"/>
    <w:lvl w:ilvl="0">
      <w:lvlJc w:val="left"/>
      <w:lvlText w:val="•"/>
      <w:numFmt w:val="bullet"/>
      <w:start w:val="1"/>
    </w:lvl>
  </w:abstractNum>
  <w:abstractNum w:abstractNumId="25">
    <w:nsid w:val="2F305DEF"/>
    <w:multiLevelType w:val="hybridMultilevel"/>
    <w:lvl w:ilvl="0">
      <w:lvlJc w:val="left"/>
      <w:lvlText w:val="(%1)"/>
      <w:numFmt w:val="lowerRoman"/>
      <w:start w:val="2"/>
    </w:lvl>
  </w:abstractNum>
  <w:abstractNum w:abstractNumId="26">
    <w:nsid w:val="25A70BF7"/>
    <w:multiLevelType w:val="hybridMultilevel"/>
    <w:lvl w:ilvl="0">
      <w:lvlJc w:val="left"/>
      <w:lvlText w:val="(%1)"/>
      <w:numFmt w:val="lowerRoman"/>
      <w:start w:val="1"/>
    </w:lvl>
  </w:abstractNum>
  <w:abstractNum w:abstractNumId="27">
    <w:nsid w:val="1DBABF00"/>
    <w:multiLevelType w:val="hybridMultilevel"/>
    <w:lvl w:ilvl="0">
      <w:lvlJc w:val="left"/>
      <w:lvlText w:val="(%1)"/>
      <w:numFmt w:val="lowerRoman"/>
      <w:start w:val="1"/>
    </w:lvl>
  </w:abstractNum>
  <w:abstractNum w:abstractNumId="28">
    <w:nsid w:val="4AD084E9"/>
    <w:multiLevelType w:val="hybridMultilevel"/>
    <w:lvl w:ilvl="0">
      <w:lvlJc w:val="left"/>
      <w:lvlText w:val="•"/>
      <w:numFmt w:val="bullet"/>
      <w:start w:val="1"/>
    </w:lvl>
  </w:abstractNum>
  <w:abstractNum w:abstractNumId="29">
    <w:nsid w:val="1F48EAA1"/>
    <w:multiLevelType w:val="hybridMultilevel"/>
    <w:lvl w:ilvl="0">
      <w:lvlJc w:val="left"/>
      <w:lvlText w:val="•"/>
      <w:numFmt w:val="bullet"/>
      <w:start w:val="1"/>
    </w:lvl>
  </w:abstractNum>
  <w:abstractNum w:abstractNumId="30">
    <w:nsid w:val="1381823A"/>
    <w:multiLevelType w:val="hybridMultilevel"/>
    <w:lvl w:ilvl="0">
      <w:lvlJc w:val="left"/>
      <w:lvlText w:val="•"/>
      <w:numFmt w:val="bullet"/>
      <w:start w:val="1"/>
    </w:lvl>
  </w:abstractNum>
  <w:abstractNum w:abstractNumId="31">
    <w:nsid w:val="5DB70AE5"/>
    <w:multiLevelType w:val="hybridMultilevel"/>
    <w:lvl w:ilvl="0">
      <w:lvlJc w:val="left"/>
      <w:lvlText w:val="•"/>
      <w:numFmt w:val="bullet"/>
      <w:start w:val="1"/>
    </w:lvl>
  </w:abstractNum>
  <w:abstractNum w:abstractNumId="32">
    <w:nsid w:val="100F8FCA"/>
    <w:multiLevelType w:val="hybridMultilevel"/>
    <w:lvl w:ilvl="0">
      <w:lvlJc w:val="left"/>
      <w:lvlText w:val="•"/>
      <w:numFmt w:val="bullet"/>
      <w:start w:val="1"/>
    </w:lvl>
  </w:abstractNum>
  <w:abstractNum w:abstractNumId="33">
    <w:nsid w:val="6590700B"/>
    <w:multiLevelType w:val="hybridMultilevel"/>
    <w:lvl w:ilvl="0">
      <w:lvlJc w:val="left"/>
      <w:lvlText w:val="•"/>
      <w:numFmt w:val="bullet"/>
      <w:start w:val="1"/>
    </w:lvl>
  </w:abstractNum>
  <w:abstractNum w:abstractNumId="34">
    <w:nsid w:val="15014ACB"/>
    <w:multiLevelType w:val="hybridMultilevel"/>
    <w:lvl w:ilvl="0">
      <w:lvlJc w:val="left"/>
      <w:lvlText w:val=" "/>
      <w:numFmt w:val="bullet"/>
      <w:start w:val="1"/>
    </w:lvl>
  </w:abstractNum>
  <w:abstractNum w:abstractNumId="35">
    <w:nsid w:val="5F5E7FD0"/>
    <w:multiLevelType w:val="hybridMultilevel"/>
    <w:lvl w:ilvl="0">
      <w:lvlJc w:val="left"/>
      <w:lvlText w:val=" "/>
      <w:numFmt w:val="bullet"/>
      <w:start w:val="1"/>
    </w:lvl>
  </w:abstractNum>
  <w:abstractNum w:abstractNumId="36">
    <w:nsid w:val="98A3148"/>
    <w:multiLevelType w:val="hybridMultilevel"/>
    <w:lvl w:ilvl="0">
      <w:lvlJc w:val="left"/>
      <w:lvlText w:val="*"/>
      <w:numFmt w:val="bullet"/>
      <w:start w:val="1"/>
    </w:lvl>
  </w:abstractNum>
  <w:abstractNum w:abstractNumId="37">
    <w:nsid w:val="799D0247"/>
    <w:multiLevelType w:val="hybridMultilevel"/>
    <w:lvl w:ilvl="0">
      <w:lvlJc w:val="left"/>
      <w:lvlText w:val="**"/>
      <w:numFmt w:val="bullet"/>
      <w:start w:val="1"/>
    </w:lvl>
  </w:abstractNum>
  <w:abstractNum w:abstractNumId="38">
    <w:nsid w:val="6B94764"/>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39">
    <w:nsid w:val="42C296BD"/>
    <w:multiLevelType w:val="hybridMultilevel"/>
    <w:lvl w:ilvl="0">
      <w:lvlJc w:val="left"/>
      <w:lvlText w:val="(%1)"/>
      <w:numFmt w:val="decimal"/>
      <w:start w:val="2"/>
    </w:lvl>
    <w:lvl w:ilvl="1">
      <w:lvlJc w:val="left"/>
      <w:lvlText w:val="(%2)"/>
      <w:numFmt w:val="lowerRoman"/>
      <w:start w:val="1"/>
    </w:lvl>
  </w:abstractNum>
  <w:abstractNum w:abstractNumId="40">
    <w:nsid w:val="168E121F"/>
    <w:multiLevelType w:val="hybridMultilevel"/>
    <w:lvl w:ilvl="0">
      <w:lvlJc w:val="left"/>
      <w:lvlText w:val="(%1)"/>
      <w:numFmt w:val="lowerLetter"/>
      <w:start w:val="2"/>
    </w:lvl>
  </w:abstractNum>
  <w:abstractNum w:abstractNumId="41">
    <w:nsid w:val="1EBA5D23"/>
    <w:multiLevelType w:val="hybridMultilevel"/>
    <w:lvl w:ilvl="0">
      <w:lvlJc w:val="left"/>
      <w:lvlText w:val="(%1)"/>
      <w:numFmt w:val="lowerLetter"/>
      <w:start w:val="1"/>
    </w:lvl>
  </w:abstractNum>
  <w:abstractNum w:abstractNumId="42">
    <w:nsid w:val="661E3F1E"/>
    <w:multiLevelType w:val="hybridMultilevel"/>
    <w:lvl w:ilvl="0">
      <w:lvlJc w:val="left"/>
      <w:lvlText w:val="(%1)"/>
      <w:numFmt w:val="decimal"/>
      <w:start w:val="3"/>
    </w:lvl>
    <w:lvl w:ilvl="1">
      <w:lvlJc w:val="left"/>
      <w:lvlText w:val="(%2)"/>
      <w:numFmt w:val="lowerLetter"/>
      <w:start w:val="1"/>
    </w:lvl>
  </w:abstractNum>
  <w:abstractNum w:abstractNumId="43">
    <w:nsid w:val="5DC79EA8"/>
    <w:multiLevelType w:val="hybridMultilevel"/>
    <w:lvl w:ilvl="0">
      <w:lvlJc w:val="left"/>
      <w:lvlText w:val="(%1)"/>
      <w:numFmt w:val="lowerLetter"/>
      <w:start w:val="2"/>
    </w:lvl>
  </w:abstractNum>
  <w:abstractNum w:abstractNumId="44">
    <w:nsid w:val="540A471C"/>
    <w:multiLevelType w:val="hybridMultilevel"/>
    <w:lvl w:ilvl="0">
      <w:lvlJc w:val="left"/>
      <w:lvlText w:val="(%1)"/>
      <w:numFmt w:val="lowerLetter"/>
      <w:start w:val="3"/>
    </w:lvl>
  </w:abstractNum>
  <w:abstractNum w:abstractNumId="45">
    <w:nsid w:val="7BD3EE7B"/>
    <w:multiLevelType w:val="hybridMultilevel"/>
    <w:lvl w:ilvl="0">
      <w:lvlJc w:val="left"/>
      <w:lvlText w:val="(%1)"/>
      <w:numFmt w:val="lowerLetter"/>
      <w:start w:val="4"/>
    </w:lvl>
  </w:abstractNum>
  <w:abstractNum w:abstractNumId="46">
    <w:nsid w:val="51D9C564"/>
    <w:multiLevelType w:val="hybridMultilevel"/>
    <w:lvl w:ilvl="0">
      <w:lvlJc w:val="left"/>
      <w:lvlText w:val="%1"/>
      <w:numFmt w:val="lowerLetter"/>
      <w:start w:val="1"/>
    </w:lvl>
    <w:lvl w:ilvl="1">
      <w:lvlJc w:val="left"/>
      <w:lvlText w:val="(%2)"/>
      <w:numFmt w:val="lowerLetter"/>
      <w:start w:val="9"/>
    </w:lvl>
  </w:abstractNum>
  <w:abstractNum w:abstractNumId="47">
    <w:nsid w:val="613EFDC5"/>
    <w:multiLevelType w:val="hybridMultilevel"/>
    <w:lvl w:ilvl="0">
      <w:lvlJc w:val="left"/>
      <w:lvlText w:val="(%1)"/>
      <w:numFmt w:val="lowerLetter"/>
      <w:start w:val="61"/>
    </w:lvl>
    <w:lvl w:ilvl="1">
      <w:lvlJc w:val="left"/>
      <w:lvlText w:val="(%2)"/>
      <w:numFmt w:val="lowerLetter"/>
      <w:start w:val="12"/>
    </w:lvl>
  </w:abstractNum>
  <w:abstractNum w:abstractNumId="48">
    <w:nsid w:val="BF72B14"/>
    <w:multiLevelType w:val="hybridMultilevel"/>
    <w:lvl w:ilvl="0">
      <w:lvlJc w:val="left"/>
      <w:lvlText w:val="(%1)"/>
      <w:numFmt w:val="lowerLetter"/>
      <w:start w:val="14"/>
    </w:lvl>
  </w:abstractNum>
  <w:abstractNum w:abstractNumId="49">
    <w:nsid w:val="11447B73"/>
    <w:multiLevelType w:val="hybridMultilevel"/>
    <w:lvl w:ilvl="0">
      <w:lvlJc w:val="left"/>
      <w:lvlText w:val="(%1)"/>
      <w:numFmt w:val="lowerLetter"/>
      <w:start w:val="17"/>
    </w:lvl>
  </w:abstractNum>
  <w:abstractNum w:abstractNumId="50">
    <w:nsid w:val="42963E5A"/>
    <w:multiLevelType w:val="hybridMultilevel"/>
    <w:lvl w:ilvl="0">
      <w:lvlJc w:val="left"/>
      <w:lvlText w:val="(%1)"/>
      <w:numFmt w:val="lowerLetter"/>
      <w:start w:val="19"/>
    </w:lvl>
  </w:abstractNum>
  <w:abstractNum w:abstractNumId="51">
    <w:nsid w:val="A0382C5"/>
    <w:multiLevelType w:val="hybridMultilevel"/>
    <w:lvl w:ilvl="0">
      <w:lvlJc w:val="left"/>
      <w:lvlText w:val="(%1)"/>
      <w:numFmt w:val="lowerLetter"/>
      <w:start w:val="21"/>
    </w:lvl>
  </w:abstractNum>
  <w:abstractNum w:abstractNumId="52">
    <w:nsid w:val="8F2B15E"/>
    <w:multiLevelType w:val="hybridMultilevel"/>
    <w:lvl w:ilvl="0">
      <w:lvlJc w:val="left"/>
      <w:lvlText w:val="(%1)"/>
      <w:numFmt w:val="lowerLetter"/>
      <w:start w:val="24"/>
    </w:lvl>
  </w:abstractNum>
  <w:abstractNum w:abstractNumId="53">
    <w:nsid w:val="1A32234B"/>
    <w:multiLevelType w:val="hybridMultilevel"/>
    <w:lvl w:ilvl="0">
      <w:lvlJc w:val="left"/>
      <w:lvlText w:val="(%1)"/>
      <w:numFmt w:val="lowerLetter"/>
      <w:start w:val="27"/>
    </w:lvl>
  </w:abstractNum>
  <w:abstractNum w:abstractNumId="54">
    <w:nsid w:val="3B0FD379"/>
    <w:multiLevelType w:val="hybridMultilevel"/>
    <w:lvl w:ilvl="0">
      <w:lvlJc w:val="left"/>
      <w:lvlText w:val="%1"/>
      <w:numFmt w:val="lowerRoman"/>
      <w:start w:val="1"/>
    </w:lvl>
    <w:lvl w:ilvl="1">
      <w:lvlJc w:val="left"/>
      <w:lvlText w:val="(%2)"/>
      <w:numFmt w:val="lowerLetter"/>
      <w:start w:val="30"/>
    </w:lvl>
  </w:abstractNum>
  <w:abstractNum w:abstractNumId="55">
    <w:nsid w:val="68EB2F63"/>
    <w:multiLevelType w:val="hybridMultilevel"/>
    <w:lvl w:ilvl="0">
      <w:lvlJc w:val="left"/>
      <w:lvlText w:val="(%1)"/>
      <w:numFmt w:val="lowerRoman"/>
      <w:start w:val="4"/>
    </w:lvl>
    <w:lvl w:ilvl="1">
      <w:lvlJc w:val="left"/>
      <w:lvlText w:val="(%2)"/>
      <w:numFmt w:val="lowerLetter"/>
      <w:start w:val="32"/>
    </w:lvl>
  </w:abstractNum>
  <w:abstractNum w:abstractNumId="56">
    <w:nsid w:val="4962813B"/>
    <w:multiLevelType w:val="hybridMultilevel"/>
    <w:lvl w:ilvl="0">
      <w:lvlJc w:val="left"/>
      <w:lvlText w:val="(%1)"/>
      <w:numFmt w:val="lowerLetter"/>
      <w:start w:val="33"/>
    </w:lvl>
  </w:abstractNum>
  <w:abstractNum w:abstractNumId="57">
    <w:nsid w:val="60B6DF70"/>
    <w:multiLevelType w:val="hybridMultilevel"/>
    <w:lvl w:ilvl="0">
      <w:lvlJc w:val="left"/>
      <w:lvlText w:val="(%1)"/>
      <w:numFmt w:val="lowerLetter"/>
      <w:start w:val="61"/>
    </w:lvl>
    <w:lvl w:ilvl="1">
      <w:lvlJc w:val="left"/>
      <w:lvlText w:val="(%2)"/>
      <w:numFmt w:val="lowerLetter"/>
      <w:start w:val="39"/>
    </w:lvl>
  </w:abstractNum>
  <w:abstractNum w:abstractNumId="58">
    <w:nsid w:val="6A5EE64"/>
    <w:multiLevelType w:val="hybridMultilevel"/>
    <w:lvl w:ilvl="0">
      <w:lvlJc w:val="left"/>
      <w:lvlText w:val="(%1)"/>
      <w:numFmt w:val="lowerLetter"/>
      <w:start w:val="42"/>
    </w:lvl>
  </w:abstractNum>
  <w:abstractNum w:abstractNumId="59">
    <w:nsid w:val="14330624"/>
    <w:multiLevelType w:val="hybridMultilevel"/>
    <w:lvl w:ilvl="0">
      <w:lvlJc w:val="left"/>
      <w:lvlText w:val="(%1)"/>
      <w:numFmt w:val="lowerLetter"/>
      <w:start w:val="45"/>
    </w:lvl>
  </w:abstractNum>
  <w:abstractNum w:abstractNumId="60">
    <w:nsid w:val="7FFFCA11"/>
    <w:multiLevelType w:val="hybridMultilevel"/>
    <w:lvl w:ilvl="0">
      <w:lvlJc w:val="left"/>
      <w:lvlText w:val="(%1)"/>
      <w:numFmt w:val="lowerLetter"/>
      <w:start w:val="1"/>
    </w:lvl>
  </w:abstractNum>
  <w:abstractNum w:abstractNumId="61">
    <w:nsid w:val="1A27709E"/>
    <w:multiLevelType w:val="hybridMultilevel"/>
    <w:lvl w:ilvl="0">
      <w:lvlJc w:val="left"/>
      <w:lvlText w:val="(%1)"/>
      <w:numFmt w:val="lowerRoman"/>
      <w:start w:val="1"/>
    </w:lvl>
  </w:abstractNum>
  <w:abstractNum w:abstractNumId="62">
    <w:nsid w:val="71EA1109"/>
    <w:multiLevelType w:val="hybridMultilevel"/>
    <w:lvl w:ilvl="0">
      <w:lvlJc w:val="left"/>
      <w:lvlText w:val="%1"/>
      <w:numFmt w:val="upperLetter"/>
      <w:start w:val="1"/>
    </w:lvl>
    <w:lvl w:ilvl="1">
      <w:lvlJc w:val="left"/>
      <w:lvlText w:val="(%2)"/>
      <w:numFmt w:val="lowerRoman"/>
      <w:start w:val="2"/>
    </w:lvl>
  </w:abstractNum>
  <w:abstractNum w:abstractNumId="63">
    <w:nsid w:val="100F59DC"/>
    <w:multiLevelType w:val="hybridMultilevel"/>
    <w:lvl w:ilvl="0">
      <w:lvlJc w:val="left"/>
      <w:lvlText w:val="(%1)"/>
      <w:numFmt w:val="upperLetter"/>
      <w:start w:val="2"/>
    </w:lvl>
    <w:lvl w:ilvl="1">
      <w:lvlJc w:val="left"/>
      <w:lvlText w:val="(%2)"/>
      <w:numFmt w:val="lowerRoman"/>
      <w:start w:val="4"/>
    </w:lvl>
  </w:abstractNum>
  <w:abstractNum w:abstractNumId="64">
    <w:nsid w:val="7FB7E0AA"/>
    <w:multiLevelType w:val="hybridMultilevel"/>
    <w:lvl w:ilvl="0">
      <w:lvlJc w:val="left"/>
      <w:lvlText w:val="(%1)"/>
      <w:numFmt w:val="lowerRoman"/>
      <w:start w:val="7"/>
    </w:lvl>
  </w:abstractNum>
  <w:abstractNum w:abstractNumId="65">
    <w:nsid w:val="6EB5BD4"/>
    <w:multiLevelType w:val="hybridMultilevel"/>
    <w:lvl w:ilvl="0">
      <w:lvlJc w:val="left"/>
      <w:lvlText w:val="(%1)"/>
      <w:numFmt w:val="lowerLetter"/>
      <w:start w:val="3"/>
    </w:lvl>
  </w:abstractNum>
  <w:abstractNum w:abstractNumId="66">
    <w:nsid w:val="6F6DD9AC"/>
    <w:multiLevelType w:val="hybridMultilevel"/>
    <w:lvl w:ilvl="0">
      <w:lvlJc w:val="left"/>
      <w:lvlText w:val="(%1)"/>
      <w:numFmt w:val="lowerLetter"/>
      <w:start w:val="1"/>
    </w:lvl>
  </w:abstractNum>
  <w:abstractNum w:abstractNumId="67">
    <w:nsid w:val="94211F2"/>
    <w:multiLevelType w:val="hybridMultilevel"/>
    <w:lvl w:ilvl="0">
      <w:lvlJc w:val="left"/>
      <w:lvlText w:val="(%1)"/>
      <w:numFmt w:val="lowerLetter"/>
      <w:start w:val="3"/>
    </w:lvl>
  </w:abstractNum>
  <w:abstractNum w:abstractNumId="68">
    <w:nsid w:val="885E1B"/>
    <w:multiLevelType w:val="hybridMultilevel"/>
    <w:lvl w:ilvl="0">
      <w:lvlJc w:val="left"/>
      <w:lvlText w:val="(%1)"/>
      <w:numFmt w:val="lowerLetter"/>
      <w:start w:val="7"/>
    </w:lvl>
  </w:abstractNum>
  <w:abstractNum w:abstractNumId="69">
    <w:nsid w:val="76272110"/>
    <w:multiLevelType w:val="hybridMultilevel"/>
    <w:lvl w:ilvl="0">
      <w:lvlJc w:val="left"/>
      <w:lvlText w:val="(%1)"/>
      <w:numFmt w:val="lowerLetter"/>
      <w:start w:val="9"/>
    </w:lvl>
  </w:abstractNum>
  <w:abstractNum w:abstractNumId="70">
    <w:nsid w:val="4C04A8AF"/>
    <w:multiLevelType w:val="hybridMultilevel"/>
    <w:lvl w:ilvl="0">
      <w:lvlJc w:val="left"/>
      <w:lvlText w:val="%1"/>
      <w:numFmt w:val="lowerLetter"/>
      <w:start w:val="1"/>
    </w:lvl>
    <w:lvl w:ilvl="1">
      <w:lvlJc w:val="left"/>
      <w:lvlText w:val="(%2)"/>
      <w:numFmt w:val="lowerLetter"/>
      <w:start w:val="14"/>
    </w:lvl>
    <w:lvl w:ilvl="2">
      <w:lvlJc w:val="left"/>
      <w:lvlText w:val="(%3)"/>
      <w:numFmt w:val="upperLetter"/>
      <w:start w:val="1"/>
    </w:lvl>
  </w:abstractNum>
  <w:abstractNum w:abstractNumId="71">
    <w:nsid w:val="1716703B"/>
    <w:multiLevelType w:val="hybridMultilevel"/>
    <w:lvl w:ilvl="0">
      <w:lvlJc w:val="left"/>
      <w:lvlText w:val="(%1)"/>
      <w:numFmt w:val="lowerLetter"/>
      <w:start w:val="35"/>
    </w:lvl>
    <w:lvl w:ilvl="1">
      <w:lvlJc w:val="left"/>
      <w:lvlText w:val="%2"/>
      <w:numFmt w:val="lowerLetter"/>
      <w:start w:val="1"/>
    </w:lvl>
    <w:lvl w:ilvl="2">
      <w:lvlJc w:val="left"/>
      <w:lvlText w:val="%3"/>
      <w:numFmt w:val="upperLetter"/>
      <w:start w:val="1"/>
    </w:lvl>
  </w:abstractNum>
  <w:abstractNum w:abstractNumId="72">
    <w:nsid w:val="14E17E33"/>
    <w:multiLevelType w:val="hybridMultilevel"/>
    <w:lvl w:ilvl="0">
      <w:lvlJc w:val="left"/>
      <w:lvlText w:val="(%1)"/>
      <w:numFmt w:val="upperLetter"/>
      <w:start w:val="3"/>
    </w:lvl>
  </w:abstractNum>
  <w:abstractNum w:abstractNumId="73">
    <w:nsid w:val="3222E7CD"/>
    <w:multiLevelType w:val="hybridMultilevel"/>
    <w:lvl w:ilvl="0">
      <w:lvlJc w:val="left"/>
      <w:lvlText w:val="(%1)"/>
      <w:numFmt w:val="lowerLetter"/>
      <w:start w:val="16"/>
    </w:lvl>
  </w:abstractNum>
  <w:abstractNum w:abstractNumId="74">
    <w:nsid w:val="74DE0EE3"/>
    <w:multiLevelType w:val="hybridMultilevel"/>
    <w:lvl w:ilvl="0">
      <w:lvlJc w:val="left"/>
      <w:lvlText w:val="%1"/>
      <w:numFmt w:val="lowerLetter"/>
      <w:start w:val="1"/>
    </w:lvl>
    <w:lvl w:ilvl="1">
      <w:lvlJc w:val="left"/>
      <w:lvlText w:val="(%2)"/>
      <w:numFmt w:val="lowerLetter"/>
      <w:start w:val="18"/>
    </w:lvl>
  </w:abstractNum>
  <w:abstractNum w:abstractNumId="75">
    <w:nsid w:val="68EBC550"/>
    <w:multiLevelType w:val="hybridMultilevel"/>
    <w:lvl w:ilvl="0">
      <w:lvlJc w:val="left"/>
      <w:lvlText w:val="(%1)"/>
      <w:numFmt w:val="lowerLetter"/>
      <w:start w:val="4"/>
    </w:lvl>
    <w:lvl w:ilvl="1">
      <w:lvlJc w:val="left"/>
      <w:lvlText w:val="%2"/>
      <w:numFmt w:val="lowerLetter"/>
      <w:start w:val="1"/>
    </w:lvl>
  </w:abstractNum>
  <w:abstractNum w:abstractNumId="76">
    <w:nsid w:val="2DF6D648"/>
    <w:multiLevelType w:val="hybridMultilevel"/>
    <w:lvl w:ilvl="0">
      <w:lvlJc w:val="left"/>
      <w:lvlText w:val="%1"/>
      <w:numFmt w:val="lowerRoman"/>
      <w:start w:val="1"/>
    </w:lvl>
    <w:lvl w:ilvl="1">
      <w:lvlJc w:val="left"/>
      <w:lvlText w:val="(%2)"/>
      <w:numFmt w:val="lowerRoman"/>
      <w:start w:val="5"/>
    </w:lvl>
  </w:abstractNum>
  <w:abstractNum w:abstractNumId="77">
    <w:nsid w:val="46B7D447"/>
    <w:multiLevelType w:val="hybridMultilevel"/>
    <w:lvl w:ilvl="0">
      <w:lvlJc w:val="left"/>
      <w:lvlText w:val="(%1)"/>
      <w:numFmt w:val="lowerRoman"/>
      <w:start w:val="4"/>
    </w:lvl>
    <w:lvl w:ilvl="1">
      <w:lvlJc w:val="left"/>
      <w:lvlText w:val="%2"/>
      <w:numFmt w:val="lowerRoman"/>
      <w:start w:val="1"/>
    </w:lvl>
  </w:abstractNum>
  <w:abstractNum w:abstractNumId="78">
    <w:nsid w:val="4A2AC315"/>
    <w:multiLevelType w:val="hybridMultilevel"/>
    <w:lvl w:ilvl="0">
      <w:lvlJc w:val="left"/>
      <w:lvlText w:val="(%1)"/>
      <w:numFmt w:val="lowerRoman"/>
      <w:start w:val="4"/>
    </w:lvl>
    <w:lvl w:ilvl="1">
      <w:lvlJc w:val="left"/>
      <w:lvlText w:val="%2"/>
      <w:numFmt w:val="lowerRoman"/>
      <w:start w:val="1"/>
    </w:lvl>
  </w:abstractNum>
  <w:abstractNum w:abstractNumId="79">
    <w:nsid w:val="39EE015C"/>
    <w:multiLevelType w:val="hybridMultilevel"/>
    <w:lvl w:ilvl="0">
      <w:lvlJc w:val="left"/>
      <w:lvlText w:val="(%1)"/>
      <w:numFmt w:val="lowerLetter"/>
      <w:start w:val="1"/>
    </w:lvl>
    <w:lvl w:ilvl="1">
      <w:lvlJc w:val="left"/>
      <w:lvlText w:val="%2"/>
      <w:numFmt w:val="lowerLetter"/>
      <w:start w:val="1"/>
    </w:lvl>
  </w:abstractNum>
  <w:abstractNum w:abstractNumId="80">
    <w:nsid w:val="57FC4FBB"/>
    <w:multiLevelType w:val="hybridMultilevel"/>
    <w:lvl w:ilvl="0">
      <w:lvlJc w:val="left"/>
      <w:lvlText w:val="(%1)"/>
      <w:numFmt w:val="lowerLetter"/>
      <w:start w:val="9"/>
    </w:lvl>
    <w:lvl w:ilvl="1">
      <w:lvlJc w:val="left"/>
      <w:lvlText w:val="%2"/>
      <w:numFmt w:val="lowerLetter"/>
      <w:start w:val="1"/>
    </w:lvl>
  </w:abstractNum>
  <w:abstractNum w:abstractNumId="81">
    <w:nsid w:val="CC1016F"/>
    <w:multiLevelType w:val="hybridMultilevel"/>
    <w:lvl w:ilvl="0">
      <w:lvlJc w:val="left"/>
      <w:lvlText w:val="(%1)"/>
      <w:numFmt w:val="lowerRoman"/>
      <w:start w:val="2"/>
    </w:lvl>
    <w:lvl w:ilvl="1">
      <w:lvlJc w:val="left"/>
      <w:lvlText w:val="(%2)"/>
      <w:numFmt w:val="lowerLetter"/>
      <w:start w:val="2"/>
    </w:lvl>
  </w:abstractNum>
  <w:abstractNum w:abstractNumId="82">
    <w:nsid w:val="43F18422"/>
    <w:multiLevelType w:val="hybridMultilevel"/>
    <w:lvl w:ilvl="0">
      <w:lvlJc w:val="left"/>
      <w:lvlText w:val="(%1)"/>
      <w:numFmt w:val="lowerLetter"/>
      <w:start w:val="3"/>
    </w:lvl>
  </w:abstractNum>
  <w:abstractNum w:abstractNumId="83">
    <w:nsid w:val="60EF0119"/>
    <w:multiLevelType w:val="hybridMultilevel"/>
    <w:lvl w:ilvl="0">
      <w:lvlJc w:val="left"/>
      <w:lvlText w:val="(%1)"/>
      <w:numFmt w:val="lowerLetter"/>
      <w:start w:val="1"/>
    </w:lvl>
  </w:abstractNum>
  <w:abstractNum w:abstractNumId="84">
    <w:nsid w:val="26F324BA"/>
    <w:multiLevelType w:val="hybridMultilevel"/>
    <w:lvl w:ilvl="0">
      <w:lvlJc w:val="left"/>
      <w:lvlText w:val="(%1)"/>
      <w:numFmt w:val="lowerLetter"/>
      <w:start w:val="2"/>
    </w:lvl>
  </w:abstractNum>
  <w:abstractNum w:abstractNumId="85">
    <w:nsid w:val="7F01579B"/>
    <w:multiLevelType w:val="hybridMultilevel"/>
    <w:lvl w:ilvl="0">
      <w:lvlJc w:val="left"/>
      <w:lvlText w:val="%1"/>
      <w:numFmt w:val="lowerLetter"/>
      <w:start w:val="1"/>
    </w:lvl>
    <w:lvl w:ilvl="1">
      <w:lvlJc w:val="left"/>
      <w:lvlText w:val="(%2)"/>
      <w:numFmt w:val="lowerLetter"/>
      <w:start w:val="3"/>
    </w:lvl>
  </w:abstractNum>
  <w:abstractNum w:abstractNumId="86">
    <w:nsid w:val="49DA307D"/>
    <w:multiLevelType w:val="hybridMultilevel"/>
    <w:lvl w:ilvl="0">
      <w:lvlJc w:val="left"/>
      <w:lvlText w:val="(%1)"/>
      <w:numFmt w:val="lowerLetter"/>
      <w:start w:val="9"/>
    </w:lvl>
    <w:lvl w:ilvl="1">
      <w:lvlJc w:val="left"/>
      <w:lvlText w:val="%2"/>
      <w:numFmt w:val="lowerLetter"/>
      <w:start w:val="1"/>
    </w:lvl>
  </w:abstractNum>
  <w:abstractNum w:abstractNumId="87">
    <w:nsid w:val="7055A5F5"/>
    <w:multiLevelType w:val="hybridMultilevel"/>
    <w:lvl w:ilvl="0">
      <w:lvlJc w:val="left"/>
      <w:lvlText w:val="(%1)"/>
      <w:numFmt w:val="lowerLetter"/>
      <w:start w:val="5"/>
    </w:lvl>
  </w:abstractNum>
  <w:abstractNum w:abstractNumId="88">
    <w:nsid w:val="5FB8370B"/>
    <w:multiLevelType w:val="hybridMultilevel"/>
    <w:lvl w:ilvl="0">
      <w:lvlJc w:val="left"/>
      <w:lvlText w:val="%1"/>
      <w:numFmt w:val="lowerRoman"/>
      <w:start w:val="1"/>
    </w:lvl>
    <w:lvl w:ilvl="1">
      <w:lvlJc w:val="left"/>
      <w:lvlText w:val="(%2)"/>
      <w:numFmt w:val="lowerLetter"/>
      <w:start w:val="1"/>
    </w:lvl>
  </w:abstractNum>
  <w:abstractNum w:abstractNumId="89">
    <w:nsid w:val="50801EE1"/>
    <w:multiLevelType w:val="hybridMultilevel"/>
    <w:lvl w:ilvl="0">
      <w:lvlJc w:val="left"/>
      <w:lvlText w:val="%1"/>
      <w:numFmt w:val="lowerRoman"/>
      <w:start w:val="1"/>
    </w:lvl>
    <w:lvl w:ilvl="1">
      <w:lvlJc w:val="left"/>
      <w:lvlText w:val="(%2)"/>
      <w:numFmt w:val="lowerLetter"/>
      <w:start w:val="9"/>
    </w:lvl>
  </w:abstractNum>
  <w:abstractNum w:abstractNumId="90">
    <w:nsid w:val="488AC1A"/>
    <w:multiLevelType w:val="hybridMultilevel"/>
    <w:lvl w:ilvl="0">
      <w:lvlJc w:val="left"/>
      <w:lvlText w:val="%1"/>
      <w:numFmt w:val="lowerRoman"/>
      <w:start w:val="1"/>
    </w:lvl>
    <w:lvl w:ilvl="1">
      <w:lvlJc w:val="left"/>
      <w:lvlText w:val="(%2)"/>
      <w:numFmt w:val="lowerLetter"/>
      <w:start w:val="35"/>
    </w:lvl>
  </w:abstractNum>
  <w:abstractNum w:abstractNumId="91">
    <w:nsid w:val="5FB8011C"/>
    <w:multiLevelType w:val="hybridMultilevel"/>
    <w:lvl w:ilvl="0">
      <w:lvlJc w:val="left"/>
      <w:lvlText w:val="(%1)"/>
      <w:numFmt w:val="lowerLetter"/>
      <w:start w:val="1"/>
    </w:lvl>
  </w:abstractNum>
  <w:abstractNum w:abstractNumId="92">
    <w:nsid w:val="6AA78F7F"/>
    <w:multiLevelType w:val="hybridMultilevel"/>
    <w:lvl w:ilvl="0">
      <w:lvlJc w:val="left"/>
      <w:lvlText w:val="%1"/>
      <w:numFmt w:val="lowerLetter"/>
      <w:start w:val="1"/>
    </w:lvl>
    <w:lvl w:ilvl="1">
      <w:lvlJc w:val="left"/>
      <w:lvlText w:val="(%2)"/>
      <w:numFmt w:val="lowerLetter"/>
      <w:start w:val="2"/>
    </w:lvl>
  </w:abstractNum>
  <w:abstractNum w:abstractNumId="93">
    <w:nsid w:val="7672BD23"/>
    <w:multiLevelType w:val="hybridMultilevel"/>
    <w:lvl w:ilvl="0">
      <w:lvlJc w:val="left"/>
      <w:lvlText w:val="(%1)"/>
      <w:numFmt w:val="lowerLetter"/>
      <w:start w:val="61"/>
    </w:lvl>
    <w:lvl w:ilvl="1">
      <w:lvlJc w:val="left"/>
      <w:lvlText w:val="(%2)"/>
      <w:numFmt w:val="lowerLetter"/>
      <w:start w:val="3"/>
    </w:lvl>
  </w:abstractNum>
  <w:abstractNum w:abstractNumId="94">
    <w:nsid w:val="6FC75AF8"/>
    <w:multiLevelType w:val="hybridMultilevel"/>
    <w:lvl w:ilvl="0">
      <w:lvlJc w:val="left"/>
      <w:lvlText w:val="§"/>
      <w:numFmt w:val="bullet"/>
      <w:start w:val="1"/>
    </w:lvl>
    <w:lvl w:ilvl="1">
      <w:lvlJc w:val="left"/>
      <w:lvlText w:val="(%2)"/>
      <w:numFmt w:val="lowerLetter"/>
      <w:start w:val="5"/>
    </w:lvl>
  </w:abstractNum>
  <w:abstractNum w:abstractNumId="95">
    <w:nsid w:val="6A5F7029"/>
    <w:multiLevelType w:val="hybridMultilevel"/>
    <w:lvl w:ilvl="0">
      <w:lvlJc w:val="left"/>
      <w:lvlText w:val="(%1)"/>
      <w:numFmt w:val="lowerLetter"/>
      <w:start w:val="8"/>
    </w:lvl>
  </w:abstractNum>
  <w:abstractNum w:abstractNumId="96">
    <w:nsid w:val="7D5E18F8"/>
    <w:multiLevelType w:val="hybridMultilevel"/>
    <w:lvl w:ilvl="0">
      <w:lvlJc w:val="left"/>
      <w:lvlText w:val="(%1)"/>
      <w:numFmt w:val="lowerRoman"/>
      <w:start w:val="4"/>
    </w:lvl>
  </w:abstractNum>
  <w:abstractNum w:abstractNumId="97">
    <w:nsid w:val="5F3534A4"/>
    <w:multiLevelType w:val="hybridMultilevel"/>
    <w:lvl w:ilvl="0">
      <w:lvlJc w:val="left"/>
      <w:lvlText w:val="%1."/>
      <w:numFmt w:val="decimal"/>
      <w:start w:val="1"/>
    </w:lvl>
  </w:abstractNum>
  <w:abstractNum w:abstractNumId="98">
    <w:nsid w:val="73A1821B"/>
    <w:multiLevelType w:val="hybridMultilevel"/>
    <w:lvl w:ilvl="0">
      <w:lvlJc w:val="left"/>
      <w:lvlText w:val="%1."/>
      <w:numFmt w:val="decimal"/>
      <w:start w:val="2"/>
    </w:lvl>
  </w:abstractNum>
  <w:abstractNum w:abstractNumId="99">
    <w:nsid w:val="7DE67713"/>
    <w:multiLevelType w:val="hybridMultilevel"/>
    <w:lvl w:ilvl="0">
      <w:lvlJc w:val="left"/>
      <w:lvlText w:val="1"/>
      <w:numFmt w:val="bullet"/>
      <w:start w:val="1"/>
    </w:lvl>
  </w:abstractNum>
  <w:abstractNum w:abstractNumId="100">
    <w:nsid w:val="555C55B5"/>
    <w:multiLevelType w:val="hybridMultilevel"/>
    <w:lvl w:ilvl="0">
      <w:lvlJc w:val="left"/>
      <w:lvlText w:val="2"/>
      <w:numFmt w:val="bullet"/>
      <w:start w:val="1"/>
    </w:lvl>
  </w:abstractNum>
  <w:abstractNum w:abstractNumId="101">
    <w:nsid w:val="3FA62ACA"/>
    <w:multiLevelType w:val="hybridMultilevel"/>
    <w:lvl w:ilvl="0">
      <w:lvlJc w:val="left"/>
      <w:lvlText w:val="3"/>
      <w:numFmt w:val="bullet"/>
      <w:start w:val="1"/>
    </w:lvl>
  </w:abstractNum>
  <w:abstractNum w:abstractNumId="102">
    <w:nsid w:val="14FCE74E"/>
    <w:multiLevelType w:val="hybridMultilevel"/>
    <w:lvl w:ilvl="0">
      <w:lvlJc w:val="left"/>
      <w:lvlText w:val="4"/>
      <w:numFmt w:val="bullet"/>
      <w:start w:val="1"/>
    </w:lvl>
  </w:abstractNum>
  <w:abstractNum w:abstractNumId="103">
    <w:nsid w:val="6A3DD3E8"/>
    <w:multiLevelType w:val="hybridMultilevel"/>
    <w:lvl w:ilvl="0">
      <w:lvlJc w:val="left"/>
      <w:lvlText w:val="5"/>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5" Type="http://schemas.openxmlformats.org/officeDocument/2006/relationships/image" Target="media/image43.png"/><Relationship Id="rId56" Type="http://schemas.openxmlformats.org/officeDocument/2006/relationships/image" Target="media/image44.png"/><Relationship Id="rId57" Type="http://schemas.openxmlformats.org/officeDocument/2006/relationships/image" Target="media/image45.png"/><Relationship Id="rId58" Type="http://schemas.openxmlformats.org/officeDocument/2006/relationships/image" Target="media/image46.jpeg"/><Relationship Id="rId59" Type="http://schemas.openxmlformats.org/officeDocument/2006/relationships/image" Target="media/image47.png"/><Relationship Id="rId60" Type="http://schemas.openxmlformats.org/officeDocument/2006/relationships/image" Target="media/image48.png"/><Relationship Id="rId61" Type="http://schemas.openxmlformats.org/officeDocument/2006/relationships/image" Target="media/image49.png"/><Relationship Id="rId62" Type="http://schemas.openxmlformats.org/officeDocument/2006/relationships/image" Target="media/image50.png"/><Relationship Id="rId63" Type="http://schemas.openxmlformats.org/officeDocument/2006/relationships/image" Target="media/image51.png"/><Relationship Id="rId64" Type="http://schemas.openxmlformats.org/officeDocument/2006/relationships/image" Target="media/image52.png"/><Relationship Id="rId65" Type="http://schemas.openxmlformats.org/officeDocument/2006/relationships/image" Target="media/image53.jpeg"/><Relationship Id="rId66" Type="http://schemas.openxmlformats.org/officeDocument/2006/relationships/image" Target="media/image54.png"/><Relationship Id="rId67" Type="http://schemas.openxmlformats.org/officeDocument/2006/relationships/image" Target="media/image55.png"/><Relationship Id="rId68" Type="http://schemas.openxmlformats.org/officeDocument/2006/relationships/image" Target="media/image56.png"/><Relationship Id="rId69" Type="http://schemas.openxmlformats.org/officeDocument/2006/relationships/image" Target="media/image57.png"/><Relationship Id="rId70" Type="http://schemas.openxmlformats.org/officeDocument/2006/relationships/image" Target="media/image58.png"/><Relationship Id="rId71" Type="http://schemas.openxmlformats.org/officeDocument/2006/relationships/image" Target="media/image59.png"/><Relationship Id="rId72" Type="http://schemas.openxmlformats.org/officeDocument/2006/relationships/image" Target="media/image60.png"/><Relationship Id="rId73" Type="http://schemas.openxmlformats.org/officeDocument/2006/relationships/image" Target="media/image61.png"/><Relationship Id="rId74" Type="http://schemas.openxmlformats.org/officeDocument/2006/relationships/image" Target="media/image62.png"/><Relationship Id="rId75" Type="http://schemas.openxmlformats.org/officeDocument/2006/relationships/image" Target="media/image63.png"/><Relationship Id="rId76" Type="http://schemas.openxmlformats.org/officeDocument/2006/relationships/image" Target="media/image64.png"/><Relationship Id="rId77" Type="http://schemas.openxmlformats.org/officeDocument/2006/relationships/image" Target="media/image65.png"/><Relationship Id="rId78" Type="http://schemas.openxmlformats.org/officeDocument/2006/relationships/image" Target="media/image66.png"/><Relationship Id="rId79" Type="http://schemas.openxmlformats.org/officeDocument/2006/relationships/image" Target="media/image67.png"/><Relationship Id="rId80" Type="http://schemas.openxmlformats.org/officeDocument/2006/relationships/image" Target="media/image68.png"/><Relationship Id="rId81" Type="http://schemas.openxmlformats.org/officeDocument/2006/relationships/image" Target="media/image69.png"/><Relationship Id="rId82" Type="http://schemas.openxmlformats.org/officeDocument/2006/relationships/image" Target="media/image70.png"/><Relationship Id="rId83" Type="http://schemas.openxmlformats.org/officeDocument/2006/relationships/image" Target="media/image71.png"/><Relationship Id="rId84" Type="http://schemas.openxmlformats.org/officeDocument/2006/relationships/image" Target="media/image72.png"/><Relationship Id="rId85" Type="http://schemas.openxmlformats.org/officeDocument/2006/relationships/image" Target="media/image73.png"/><Relationship Id="rId86" Type="http://schemas.openxmlformats.org/officeDocument/2006/relationships/image" Target="media/image74.png"/><Relationship Id="rId87" Type="http://schemas.openxmlformats.org/officeDocument/2006/relationships/image" Target="media/image75.png"/><Relationship Id="rId88" Type="http://schemas.openxmlformats.org/officeDocument/2006/relationships/image" Target="media/image76.png"/><Relationship Id="rId89" Type="http://schemas.openxmlformats.org/officeDocument/2006/relationships/image" Target="media/image77.png"/><Relationship Id="rId90" Type="http://schemas.openxmlformats.org/officeDocument/2006/relationships/image" Target="media/image78.png"/><Relationship Id="rId91" Type="http://schemas.openxmlformats.org/officeDocument/2006/relationships/image" Target="media/image79.png"/><Relationship Id="rId92" Type="http://schemas.openxmlformats.org/officeDocument/2006/relationships/image" Target="media/image80.png"/><Relationship Id="rId93" Type="http://schemas.openxmlformats.org/officeDocument/2006/relationships/image" Target="media/image81.png"/><Relationship Id="rId94" Type="http://schemas.openxmlformats.org/officeDocument/2006/relationships/image" Target="media/image82.png"/><Relationship Id="rId95" Type="http://schemas.openxmlformats.org/officeDocument/2006/relationships/image" Target="media/image83.png"/><Relationship Id="rId96" Type="http://schemas.openxmlformats.org/officeDocument/2006/relationships/image" Target="media/image84.png"/><Relationship Id="rId97" Type="http://schemas.openxmlformats.org/officeDocument/2006/relationships/image" Target="media/image85.png"/><Relationship Id="rId98" Type="http://schemas.openxmlformats.org/officeDocument/2006/relationships/image" Target="media/image86.png"/><Relationship Id="rId99" Type="http://schemas.openxmlformats.org/officeDocument/2006/relationships/image" Target="media/image87.png"/><Relationship Id="rId100" Type="http://schemas.openxmlformats.org/officeDocument/2006/relationships/image" Target="media/image88.png"/><Relationship Id="rId101" Type="http://schemas.openxmlformats.org/officeDocument/2006/relationships/image" Target="media/image89.png"/><Relationship Id="rId102" Type="http://schemas.openxmlformats.org/officeDocument/2006/relationships/image" Target="media/image90.png"/><Relationship Id="rId103" Type="http://schemas.openxmlformats.org/officeDocument/2006/relationships/image" Target="media/image91.png"/><Relationship Id="rId104" Type="http://schemas.openxmlformats.org/officeDocument/2006/relationships/image" Target="media/image92.png"/><Relationship Id="rId105" Type="http://schemas.openxmlformats.org/officeDocument/2006/relationships/image" Target="media/image93.png"/><Relationship Id="rId106" Type="http://schemas.openxmlformats.org/officeDocument/2006/relationships/image" Target="media/image94.jpeg"/><Relationship Id="rId107" Type="http://schemas.openxmlformats.org/officeDocument/2006/relationships/image" Target="media/image95.png"/><Relationship Id="rId108" Type="http://schemas.openxmlformats.org/officeDocument/2006/relationships/image" Target="media/image96.png"/><Relationship Id="rId109" Type="http://schemas.openxmlformats.org/officeDocument/2006/relationships/image" Target="media/image97.png"/><Relationship Id="rId110" Type="http://schemas.openxmlformats.org/officeDocument/2006/relationships/image" Target="media/image98.png"/><Relationship Id="rId111" Type="http://schemas.openxmlformats.org/officeDocument/2006/relationships/image" Target="media/image99.png"/><Relationship Id="rId112" Type="http://schemas.openxmlformats.org/officeDocument/2006/relationships/image" Target="media/image100.png"/><Relationship Id="rId113" Type="http://schemas.openxmlformats.org/officeDocument/2006/relationships/image" Target="media/image101.jpeg"/><Relationship Id="rId114" Type="http://schemas.openxmlformats.org/officeDocument/2006/relationships/image" Target="media/image102.png"/><Relationship Id="rId115" Type="http://schemas.openxmlformats.org/officeDocument/2006/relationships/image" Target="media/image103.png"/><Relationship Id="rId116" Type="http://schemas.openxmlformats.org/officeDocument/2006/relationships/image" Target="media/image104.png"/><Relationship Id="rId117" Type="http://schemas.openxmlformats.org/officeDocument/2006/relationships/image" Target="media/image105.png"/><Relationship Id="rId118" Type="http://schemas.openxmlformats.org/officeDocument/2006/relationships/image" Target="media/image106.png"/><Relationship Id="rId119" Type="http://schemas.openxmlformats.org/officeDocument/2006/relationships/image" Target="media/image107.png"/><Relationship Id="rId120" Type="http://schemas.openxmlformats.org/officeDocument/2006/relationships/image" Target="media/image108.png"/><Relationship Id="rId121" Type="http://schemas.openxmlformats.org/officeDocument/2006/relationships/image" Target="media/image109.png"/><Relationship Id="rId122" Type="http://schemas.openxmlformats.org/officeDocument/2006/relationships/image" Target="media/image110.png"/><Relationship Id="rId123" Type="http://schemas.openxmlformats.org/officeDocument/2006/relationships/image" Target="media/image111.png"/><Relationship Id="rId124" Type="http://schemas.openxmlformats.org/officeDocument/2006/relationships/image" Target="media/image112.png"/><Relationship Id="rId125" Type="http://schemas.openxmlformats.org/officeDocument/2006/relationships/image" Target="media/image113.png"/><Relationship Id="rId126" Type="http://schemas.openxmlformats.org/officeDocument/2006/relationships/image" Target="media/image114.png"/><Relationship Id="rId127" Type="http://schemas.openxmlformats.org/officeDocument/2006/relationships/image" Target="media/image115.png"/><Relationship Id="rId128" Type="http://schemas.openxmlformats.org/officeDocument/2006/relationships/image" Target="media/image116.png"/><Relationship Id="rId129" Type="http://schemas.openxmlformats.org/officeDocument/2006/relationships/image" Target="media/image117.png"/><Relationship Id="rId130" Type="http://schemas.openxmlformats.org/officeDocument/2006/relationships/image" Target="media/image118.png"/><Relationship Id="rId131" Type="http://schemas.openxmlformats.org/officeDocument/2006/relationships/image" Target="media/image119.png"/><Relationship Id="rId132" Type="http://schemas.openxmlformats.org/officeDocument/2006/relationships/image" Target="media/image120.png"/><Relationship Id="rId133" Type="http://schemas.openxmlformats.org/officeDocument/2006/relationships/image" Target="media/image121.png"/><Relationship Id="rId134" Type="http://schemas.openxmlformats.org/officeDocument/2006/relationships/image" Target="media/image122.png"/><Relationship Id="rId135" Type="http://schemas.openxmlformats.org/officeDocument/2006/relationships/image" Target="media/image123.png"/><Relationship Id="rId136" Type="http://schemas.openxmlformats.org/officeDocument/2006/relationships/image" Target="media/image124.png"/><Relationship Id="rId137" Type="http://schemas.openxmlformats.org/officeDocument/2006/relationships/image" Target="media/image125.png"/><Relationship Id="rId138" Type="http://schemas.openxmlformats.org/officeDocument/2006/relationships/image" Target="media/image126.png"/><Relationship Id="rId139" Type="http://schemas.openxmlformats.org/officeDocument/2006/relationships/image" Target="media/image127.png"/><Relationship Id="rId140" Type="http://schemas.openxmlformats.org/officeDocument/2006/relationships/image" Target="media/image128.png"/><Relationship Id="rId141" Type="http://schemas.openxmlformats.org/officeDocument/2006/relationships/image" Target="media/image129.png"/><Relationship Id="rId142" Type="http://schemas.openxmlformats.org/officeDocument/2006/relationships/image" Target="media/image130.png"/><Relationship Id="rId143" Type="http://schemas.openxmlformats.org/officeDocument/2006/relationships/image" Target="media/image131.png"/><Relationship Id="rId144" Type="http://schemas.openxmlformats.org/officeDocument/2006/relationships/image" Target="media/image132.png"/><Relationship Id="rId145" Type="http://schemas.openxmlformats.org/officeDocument/2006/relationships/image" Target="media/image133.png"/><Relationship Id="rId146" Type="http://schemas.openxmlformats.org/officeDocument/2006/relationships/image" Target="media/image134.png"/><Relationship Id="rId147" Type="http://schemas.openxmlformats.org/officeDocument/2006/relationships/image" Target="media/image135.png"/><Relationship Id="rId148" Type="http://schemas.openxmlformats.org/officeDocument/2006/relationships/image" Target="media/image136.png"/><Relationship Id="rId149" Type="http://schemas.openxmlformats.org/officeDocument/2006/relationships/image" Target="media/image137.png"/><Relationship Id="rId150" Type="http://schemas.openxmlformats.org/officeDocument/2006/relationships/image" Target="media/image138.png"/><Relationship Id="rId151" Type="http://schemas.openxmlformats.org/officeDocument/2006/relationships/image" Target="media/image139.png"/><Relationship Id="rId152" Type="http://schemas.openxmlformats.org/officeDocument/2006/relationships/image" Target="media/image140.png"/><Relationship Id="rId153" Type="http://schemas.openxmlformats.org/officeDocument/2006/relationships/image" Target="media/image141.png"/><Relationship Id="rId154" Type="http://schemas.openxmlformats.org/officeDocument/2006/relationships/image" Target="media/image142.png"/><Relationship Id="rId155" Type="http://schemas.openxmlformats.org/officeDocument/2006/relationships/image" Target="media/image143.png"/><Relationship Id="rId156" Type="http://schemas.openxmlformats.org/officeDocument/2006/relationships/image" Target="media/image144.png"/><Relationship Id="rId157" Type="http://schemas.openxmlformats.org/officeDocument/2006/relationships/image" Target="media/image145.png"/><Relationship Id="rId158" Type="http://schemas.openxmlformats.org/officeDocument/2006/relationships/image" Target="media/image146.png"/><Relationship Id="rId159" Type="http://schemas.openxmlformats.org/officeDocument/2006/relationships/image" Target="media/image147.jpeg"/><Relationship Id="rId160" Type="http://schemas.openxmlformats.org/officeDocument/2006/relationships/image" Target="media/image148.png"/><Relationship Id="rId161" Type="http://schemas.openxmlformats.org/officeDocument/2006/relationships/image" Target="media/image149.png"/><Relationship Id="rId162" Type="http://schemas.openxmlformats.org/officeDocument/2006/relationships/image" Target="media/image150.png"/><Relationship Id="rId163" Type="http://schemas.openxmlformats.org/officeDocument/2006/relationships/image" Target="media/image151.png"/><Relationship Id="rId164" Type="http://schemas.openxmlformats.org/officeDocument/2006/relationships/image" Target="media/image152.png"/><Relationship Id="rId165" Type="http://schemas.openxmlformats.org/officeDocument/2006/relationships/image" Target="media/image153.png"/><Relationship Id="rId166" Type="http://schemas.openxmlformats.org/officeDocument/2006/relationships/image" Target="media/image154.png"/><Relationship Id="rId173" Type="http://schemas.openxmlformats.org/officeDocument/2006/relationships/image" Target="media/image155.png"/><Relationship Id="rId175" Type="http://schemas.openxmlformats.org/officeDocument/2006/relationships/image" Target="media/image156.png"/><Relationship Id="rId176" Type="http://schemas.openxmlformats.org/officeDocument/2006/relationships/image" Target="media/image157.png"/><Relationship Id="rId177" Type="http://schemas.openxmlformats.org/officeDocument/2006/relationships/image" Target="media/image158.png"/><Relationship Id="rId178" Type="http://schemas.openxmlformats.org/officeDocument/2006/relationships/image" Target="media/image159.png"/><Relationship Id="rId179" Type="http://schemas.openxmlformats.org/officeDocument/2006/relationships/image" Target="media/image160.png"/><Relationship Id="rId180" Type="http://schemas.openxmlformats.org/officeDocument/2006/relationships/image" Target="media/image161.png"/><Relationship Id="rId181" Type="http://schemas.openxmlformats.org/officeDocument/2006/relationships/image" Target="media/image162.png"/><Relationship Id="rId182" Type="http://schemas.openxmlformats.org/officeDocument/2006/relationships/image" Target="media/image163.png"/><Relationship Id="rId183" Type="http://schemas.openxmlformats.org/officeDocument/2006/relationships/image" Target="media/image164.png"/><Relationship Id="rId184" Type="http://schemas.openxmlformats.org/officeDocument/2006/relationships/image" Target="media/image165.png"/><Relationship Id="rId185" Type="http://schemas.openxmlformats.org/officeDocument/2006/relationships/image" Target="media/image166.png"/><Relationship Id="rId186" Type="http://schemas.openxmlformats.org/officeDocument/2006/relationships/image" Target="media/image167.png"/><Relationship Id="rId187" Type="http://schemas.openxmlformats.org/officeDocument/2006/relationships/image" Target="media/image168.png"/><Relationship Id="rId188" Type="http://schemas.openxmlformats.org/officeDocument/2006/relationships/image" Target="media/image169.png"/><Relationship Id="rId189" Type="http://schemas.openxmlformats.org/officeDocument/2006/relationships/image" Target="media/image170.png"/><Relationship Id="rId190" Type="http://schemas.openxmlformats.org/officeDocument/2006/relationships/image" Target="media/image171.png"/><Relationship Id="rId191" Type="http://schemas.openxmlformats.org/officeDocument/2006/relationships/image" Target="media/image172.png"/><Relationship Id="rId192" Type="http://schemas.openxmlformats.org/officeDocument/2006/relationships/image" Target="media/image173.png"/><Relationship Id="rId193" Type="http://schemas.openxmlformats.org/officeDocument/2006/relationships/image" Target="media/image174.png"/><Relationship Id="rId194" Type="http://schemas.openxmlformats.org/officeDocument/2006/relationships/image" Target="media/image175.png"/><Relationship Id="rId195" Type="http://schemas.openxmlformats.org/officeDocument/2006/relationships/image" Target="media/image176.png"/><Relationship Id="rId196" Type="http://schemas.openxmlformats.org/officeDocument/2006/relationships/image" Target="media/image177.png"/><Relationship Id="rId197" Type="http://schemas.openxmlformats.org/officeDocument/2006/relationships/image" Target="media/image178.png"/><Relationship Id="rId198" Type="http://schemas.openxmlformats.org/officeDocument/2006/relationships/image" Target="media/image179.png"/><Relationship Id="rId199" Type="http://schemas.openxmlformats.org/officeDocument/2006/relationships/image" Target="media/image180.png"/><Relationship Id="rId200" Type="http://schemas.openxmlformats.org/officeDocument/2006/relationships/image" Target="media/image181.png"/><Relationship Id="rId201" Type="http://schemas.openxmlformats.org/officeDocument/2006/relationships/image" Target="media/image182.png"/><Relationship Id="rId202" Type="http://schemas.openxmlformats.org/officeDocument/2006/relationships/image" Target="media/image183.png"/><Relationship Id="rId203" Type="http://schemas.openxmlformats.org/officeDocument/2006/relationships/image" Target="media/image184.png"/><Relationship Id="rId204" Type="http://schemas.openxmlformats.org/officeDocument/2006/relationships/image" Target="media/image185.png"/><Relationship Id="rId205" Type="http://schemas.openxmlformats.org/officeDocument/2006/relationships/image" Target="media/image186.png"/><Relationship Id="rId206" Type="http://schemas.openxmlformats.org/officeDocument/2006/relationships/image" Target="media/image187.png"/><Relationship Id="rId207" Type="http://schemas.openxmlformats.org/officeDocument/2006/relationships/image" Target="media/image188.png"/><Relationship Id="rId208" Type="http://schemas.openxmlformats.org/officeDocument/2006/relationships/image" Target="media/image189.png"/><Relationship Id="rId209" Type="http://schemas.openxmlformats.org/officeDocument/2006/relationships/image" Target="media/image190.png"/><Relationship Id="rId210" Type="http://schemas.openxmlformats.org/officeDocument/2006/relationships/image" Target="media/image191.png"/><Relationship Id="rId211" Type="http://schemas.openxmlformats.org/officeDocument/2006/relationships/image" Target="media/image192.png"/><Relationship Id="rId212" Type="http://schemas.openxmlformats.org/officeDocument/2006/relationships/image" Target="media/image193.png"/><Relationship Id="rId213" Type="http://schemas.openxmlformats.org/officeDocument/2006/relationships/image" Target="media/image194.png"/><Relationship Id="rId214" Type="http://schemas.openxmlformats.org/officeDocument/2006/relationships/image" Target="media/image195.png"/><Relationship Id="rId215" Type="http://schemas.openxmlformats.org/officeDocument/2006/relationships/image" Target="media/image196.png"/><Relationship Id="rId216" Type="http://schemas.openxmlformats.org/officeDocument/2006/relationships/image" Target="media/image197.png"/><Relationship Id="rId217" Type="http://schemas.openxmlformats.org/officeDocument/2006/relationships/image" Target="media/image198.png"/><Relationship Id="rId218" Type="http://schemas.openxmlformats.org/officeDocument/2006/relationships/image" Target="media/image199.png"/><Relationship Id="rId219" Type="http://schemas.openxmlformats.org/officeDocument/2006/relationships/image" Target="media/image200.png"/><Relationship Id="rId220" Type="http://schemas.openxmlformats.org/officeDocument/2006/relationships/image" Target="media/image201.png"/><Relationship Id="rId221" Type="http://schemas.openxmlformats.org/officeDocument/2006/relationships/image" Target="media/image202.png"/><Relationship Id="rId222" Type="http://schemas.openxmlformats.org/officeDocument/2006/relationships/image" Target="media/image203.png"/><Relationship Id="rId223" Type="http://schemas.openxmlformats.org/officeDocument/2006/relationships/image" Target="media/image204.png"/><Relationship Id="rId224" Type="http://schemas.openxmlformats.org/officeDocument/2006/relationships/image" Target="media/image205.png"/><Relationship Id="rId225" Type="http://schemas.openxmlformats.org/officeDocument/2006/relationships/image" Target="media/image206.png"/><Relationship Id="rId226" Type="http://schemas.openxmlformats.org/officeDocument/2006/relationships/image" Target="media/image207.png"/><Relationship Id="rId227" Type="http://schemas.openxmlformats.org/officeDocument/2006/relationships/image" Target="media/image208.png"/><Relationship Id="rId228" Type="http://schemas.openxmlformats.org/officeDocument/2006/relationships/image" Target="media/image209.jpeg"/><Relationship Id="rId229" Type="http://schemas.openxmlformats.org/officeDocument/2006/relationships/image" Target="media/image210.png"/><Relationship Id="rId230" Type="http://schemas.openxmlformats.org/officeDocument/2006/relationships/image" Target="media/image211.jpeg"/><Relationship Id="rId231" Type="http://schemas.openxmlformats.org/officeDocument/2006/relationships/image" Target="media/image212.png"/><Relationship Id="rId232" Type="http://schemas.openxmlformats.org/officeDocument/2006/relationships/image" Target="media/image213.jpeg"/><Relationship Id="rId233" Type="http://schemas.openxmlformats.org/officeDocument/2006/relationships/image" Target="media/image214.png"/><Relationship Id="rId234" Type="http://schemas.openxmlformats.org/officeDocument/2006/relationships/image" Target="media/image215.jpeg"/><Relationship Id="rId235" Type="http://schemas.openxmlformats.org/officeDocument/2006/relationships/image" Target="media/image216.jpeg"/><Relationship Id="rId236" Type="http://schemas.openxmlformats.org/officeDocument/2006/relationships/image" Target="media/image217.png"/><Relationship Id="rId237" Type="http://schemas.openxmlformats.org/officeDocument/2006/relationships/image" Target="media/image218.jpeg"/><Relationship Id="rId238" Type="http://schemas.openxmlformats.org/officeDocument/2006/relationships/image" Target="media/image219.jpeg"/><Relationship Id="rId239" Type="http://schemas.openxmlformats.org/officeDocument/2006/relationships/image" Target="media/image220.png"/><Relationship Id="rId240" Type="http://schemas.openxmlformats.org/officeDocument/2006/relationships/image" Target="media/image221.jpeg"/><Relationship Id="rId241" Type="http://schemas.openxmlformats.org/officeDocument/2006/relationships/image" Target="media/image222.png"/><Relationship Id="rId242" Type="http://schemas.openxmlformats.org/officeDocument/2006/relationships/image" Target="media/image223.png"/><Relationship Id="rId243" Type="http://schemas.openxmlformats.org/officeDocument/2006/relationships/image" Target="media/image224.png"/><Relationship Id="rId244" Type="http://schemas.openxmlformats.org/officeDocument/2006/relationships/image" Target="media/image225.png"/><Relationship Id="rId245" Type="http://schemas.openxmlformats.org/officeDocument/2006/relationships/image" Target="media/image226.png"/><Relationship Id="rId246" Type="http://schemas.openxmlformats.org/officeDocument/2006/relationships/image" Target="media/image227.png"/><Relationship Id="rId50" Type="http://schemas.openxmlformats.org/officeDocument/2006/relationships/hyperlink" Target="http://www.sec.gov/ix?doc=/Archives/edgar/data/1705843/000162828026018815/cbus-20251231.htm" TargetMode="External"/><Relationship Id="rId51" Type="http://schemas.openxmlformats.org/officeDocument/2006/relationships/hyperlink" Target="http://www.sec.gov/ix?doc=/Archives/edgar/data/1705843/000162828026035159/cbus-20260331.htm" TargetMode="External"/><Relationship Id="rId52" Type="http://schemas.openxmlformats.org/officeDocument/2006/relationships/hyperlink" Target="http://www.sec.gov/ix?doc=/Archives/edgar/data/1705843/000162828026024746/cbus-20260407.htm" TargetMode="External"/><Relationship Id="rId53" Type="http://schemas.openxmlformats.org/officeDocument/2006/relationships/hyperlink" Target="http://www.sec.gov/Archives/edgar/data/1705843/000119312517231512/d433769d8a12b.htm" TargetMode="External"/><Relationship Id="rId54" Type="http://schemas.openxmlformats.org/officeDocument/2006/relationships/hyperlink" Target="http://www.sec.gov/Archives/edgar/data/1705843/000119312523178748/d450252dex991.htm" TargetMode="External"/><Relationship Id="rId167" Type="http://schemas.openxmlformats.org/officeDocument/2006/relationships/hyperlink" Target="http://www.sec.gov/Archives/edgar/data/1705843/000119312523158545/d487053dex32.htm" TargetMode="External"/><Relationship Id="rId168" Type="http://schemas.openxmlformats.org/officeDocument/2006/relationships/hyperlink" Target="http://www.sec.gov/Archives/edgar/data/1705843/000119312523158545/d487053dex33.htm" TargetMode="External"/><Relationship Id="rId169" Type="http://schemas.openxmlformats.org/officeDocument/2006/relationships/hyperlink" Target="http://www.sec.gov/Archives/edgar/data/1705843/000119312522049605/d297063dex42.htm" TargetMode="External"/><Relationship Id="rId170" Type="http://schemas.openxmlformats.org/officeDocument/2006/relationships/hyperlink" Target="http://www.sec.gov/Archives/edgar/data/1705843/000119312524160319/d850268dex41.htm" TargetMode="External"/><Relationship Id="rId171" Type="http://schemas.openxmlformats.org/officeDocument/2006/relationships/hyperlink" Target="http://www.sec.gov/Archives/edgar/data/1705843/000119312525010355/d857072dex43.htm" TargetMode="External"/><Relationship Id="rId172" Type="http://schemas.openxmlformats.org/officeDocument/2006/relationships/hyperlink" Target="http://www.sec.gov/Archives/edgar/data/1705843/000119312525010355/d857072dex41.htm" TargetMode="External"/><Relationship Id="rId174" Type="http://schemas.openxmlformats.org/officeDocument/2006/relationships/hyperlink" Target="http://www.sec.gov/Archives/edgar/data/1705843/000119312525010355/d857072dex4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2026-05-15T15:46:02Z</dcterms:created>
  <dcterms:modified xsi:type="dcterms:W3CDTF">2026-05-15T15:46:02Z</dcterms:modified>
</cp:coreProperties>
</file>