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-645160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-610870</wp:posOffset>
            </wp:positionV>
            <wp:extent cx="57150" cy="624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722630</wp:posOffset>
            </wp:positionV>
            <wp:extent cx="6997065" cy="446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446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80"/>
            <w:col w:w="8440"/>
          </w:cols>
          <w:pgMar w:left="460" w:top="21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Beetham Peter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6455 NANCY RIDGE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Cibus,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CBUS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48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9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Interim CEO, Pres &amp; COO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right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 DIEGO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92121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04/24/2026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195,000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686,825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04/24/2036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390,000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04/24/2026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04/24/2027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(Right-to-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-1809115</wp:posOffset>
            </wp:positionV>
            <wp:extent cx="28575" cy="18141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14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1/48th of the total options vest monthly on the 24th of each month until the fourth anniversary of the date of the grant.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Jason Stokes as attorney-in 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04/28/2026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for Peter Beetham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4820" TargetMode="External"/><Relationship Id="rId14" Type="http://schemas.openxmlformats.org/officeDocument/2006/relationships/hyperlink" Target="http://www.sec.gov/cgi-bin/browse-edgar?action=getcompany&amp;CIK=00017058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2026-04-28T12:53:07Z</dcterms:created>
  <dcterms:modified xsi:type="dcterms:W3CDTF">2026-04-28T12:53:07Z</dcterms:modified>
</cp:coreProperties>
</file>